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595959"/>
          <w:sz w:val="22"/>
          <w:szCs w:val="22"/>
        </w:rPr>
        <w:t xml:space="preserve">KLEMENTINKA: DŮM PŘÍBĚHŮ</w:t>
      </w:r>
    </w:p>
    <w:p>
      <w:pPr>
        <w:spacing w:after="60"/>
      </w:pPr>
      <w:r>
        <w:rPr>
          <w:b/>
          <w:bCs/>
          <w:color w:val="7A2E22"/>
          <w:sz w:val="36"/>
          <w:szCs w:val="36"/>
        </w:rPr>
        <w:t xml:space="preserve">Zadání výběrového řízení – truhlářské výrobky na míru</w:t>
      </w:r>
    </w:p>
    <w:p>
      <w:pPr>
        <w:spacing w:after="40"/>
      </w:pPr>
      <w:r>
        <w:rPr>
          <w:color w:val="333333"/>
          <w:sz w:val="24"/>
          <w:szCs w:val="24"/>
        </w:rPr>
        <w:t xml:space="preserve">Výzva k předložení nabídky na výrobu, dodávku a montáž nábytku na míru (1. NP)</w:t>
      </w:r>
    </w:p>
    <w:p>
      <w:pPr>
        <w:pBdr>
          <w:bottom w:val="single" w:color="7A2E22" w:sz="6"/>
        </w:pBdr>
        <w:spacing w:after="120" w:before="60"/>
      </w:pPr>
      <w:r>
        <w:rPr>
          <w:sz w:val="2"/>
          <w:szCs w:val="2"/>
        </w:rPr>
        <w:t xml:space="preserve"/>
      </w:r>
    </w:p>
    <w:p>
      <w:pPr>
        <w:spacing w:after="40" w:line="276"/>
      </w:pPr>
      <w:r>
        <w:rPr>
          <w:b/>
          <w:bCs/>
          <w:i w:val="false"/>
          <w:iCs w:val="false"/>
          <w:sz w:val="21"/>
          <w:szCs w:val="21"/>
        </w:rPr>
        <w:t xml:space="preserve">Zadavatel: 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HUB Mladá Boleslav, z.ú.   </w:t>
      </w:r>
      <w:r>
        <w:rPr>
          <w:b/>
          <w:bCs/>
          <w:i w:val="false"/>
          <w:iCs w:val="false"/>
          <w:sz w:val="21"/>
          <w:szCs w:val="21"/>
        </w:rPr>
        <w:t xml:space="preserve">Investor: 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Impact Hub Czechia   </w:t>
      </w:r>
      <w:r>
        <w:rPr>
          <w:b/>
          <w:bCs/>
          <w:i w:val="false"/>
          <w:iCs w:val="false"/>
          <w:sz w:val="21"/>
          <w:szCs w:val="21"/>
        </w:rPr>
        <w:t xml:space="preserve">Projektant: 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mjölk architekti</w:t>
      </w:r>
    </w:p>
    <w:p>
      <w:pPr>
        <w:spacing w:after="40" w:line="276"/>
      </w:pPr>
      <w:r>
        <w:rPr>
          <w:b/>
          <w:bCs/>
          <w:i w:val="false"/>
          <w:iCs w:val="false"/>
          <w:sz w:val="21"/>
          <w:szCs w:val="21"/>
        </w:rPr>
        <w:t xml:space="preserve">Datum vyhlášení: 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11. 9. 2026   </w:t>
      </w:r>
      <w:r>
        <w:rPr>
          <w:b/>
          <w:bCs/>
          <w:i w:val="false"/>
          <w:iCs w:val="false"/>
          <w:sz w:val="21"/>
          <w:szCs w:val="21"/>
        </w:rPr>
        <w:t xml:space="preserve">Zn.: 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VŘ-KLEM-TRU-2026-01</w:t>
      </w:r>
    </w:p>
    <w:p>
      <w:pPr>
        <w:spacing w:after="60" w:line="276"/>
      </w:pPr>
      <w:r>
        <w:rPr>
          <w:b w:val="false"/>
          <w:bCs w:val="false"/>
          <w:i/>
          <w:iCs/>
          <w:color w:val="595959"/>
          <w:sz w:val="21"/>
          <w:szCs w:val="21"/>
        </w:rPr>
        <w:t xml:space="preserve">Nejedná se o zadávací řízení dle zákona č. 134/2016 Sb. Zadavatel je soukromý subjekt a výběr provádí formou oslovení k předložení nabídky; hledá kvalitní a spolehlivé truhlářské dodavatele.</w:t>
      </w:r>
    </w:p>
    <w:p>
      <w:pPr>
        <w:pStyle w:val="Heading1"/>
        <w:spacing w:after="120" w:before="300"/>
      </w:pPr>
      <w:r>
        <w:rPr>
          <w:b/>
          <w:bCs/>
          <w:color w:val="7A2E22"/>
          <w:sz w:val="27"/>
          <w:szCs w:val="27"/>
        </w:rPr>
        <w:t xml:space="preserve">1. Identifikace zadavatele</w:t>
      </w:r>
    </w:p>
    <w:tbl>
      <w:tblPr>
        <w:tblW w:type="dxa" w:w="9020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DDDDDD" w:sz="2"/>
          <w:insideV w:val="single" w:color="DDDDDD" w:sz="2"/>
        </w:tblBorders>
      </w:tblPr>
      <w:tblGrid>
        <w:gridCol w:w="3000"/>
        <w:gridCol w:w="6020"/>
      </w:tblGrid>
      <w:tr>
        <w:tc>
          <w:tcPr>
            <w:tcW w:type="dxa" w:w="3000"/>
            <w:shd w:fill="F2EDE8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/>
                <w:bCs/>
                <w:sz w:val="19"/>
                <w:szCs w:val="19"/>
              </w:rPr>
              <w:t xml:space="preserve">Zadavatel</w:t>
            </w:r>
          </w:p>
        </w:tc>
        <w:tc>
          <w:tcPr>
            <w:tcW w:type="dxa" w:w="602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HUB Mladá Boleslav, z.ú.</w:t>
            </w:r>
          </w:p>
        </w:tc>
      </w:tr>
      <w:tr>
        <w:tc>
          <w:tcPr>
            <w:tcW w:type="dxa" w:w="3000"/>
            <w:shd w:fill="F2EDE8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/>
                <w:bCs/>
                <w:sz w:val="19"/>
                <w:szCs w:val="19"/>
              </w:rPr>
              <w:t xml:space="preserve">IČO</w:t>
            </w:r>
          </w:p>
        </w:tc>
        <w:tc>
          <w:tcPr>
            <w:tcW w:type="dxa" w:w="602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21720070</w:t>
            </w:r>
          </w:p>
        </w:tc>
      </w:tr>
      <w:tr>
        <w:tc>
          <w:tcPr>
            <w:tcW w:type="dxa" w:w="3000"/>
            <w:shd w:fill="F2EDE8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/>
                <w:bCs/>
                <w:sz w:val="19"/>
                <w:szCs w:val="19"/>
              </w:rPr>
              <w:t xml:space="preserve">Sídlo / adresa</w:t>
            </w:r>
          </w:p>
        </w:tc>
        <w:tc>
          <w:tcPr>
            <w:tcW w:type="dxa" w:w="602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tř. Václava Klementa 601/13, 293 01 Mladá Boleslav</w:t>
            </w:r>
          </w:p>
        </w:tc>
      </w:tr>
      <w:tr>
        <w:tc>
          <w:tcPr>
            <w:tcW w:type="dxa" w:w="3000"/>
            <w:shd w:fill="F2EDE8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/>
                <w:bCs/>
                <w:sz w:val="19"/>
                <w:szCs w:val="19"/>
              </w:rPr>
              <w:t xml:space="preserve">Kontaktní osoba</w:t>
            </w:r>
          </w:p>
        </w:tc>
        <w:tc>
          <w:tcPr>
            <w:tcW w:type="dxa" w:w="602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Antonín Ferdan</w:t>
            </w:r>
          </w:p>
        </w:tc>
      </w:tr>
      <w:tr>
        <w:tc>
          <w:tcPr>
            <w:tcW w:type="dxa" w:w="3000"/>
            <w:shd w:fill="F2EDE8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/>
                <w:bCs/>
                <w:sz w:val="19"/>
                <w:szCs w:val="19"/>
              </w:rPr>
              <w:t xml:space="preserve">E-mail pro podání a dotazy</w:t>
            </w:r>
          </w:p>
        </w:tc>
        <w:tc>
          <w:tcPr>
            <w:tcW w:type="dxa" w:w="602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antonin.ferdan@impacthub.cz</w:t>
            </w:r>
          </w:p>
        </w:tc>
      </w:tr>
      <w:tr>
        <w:tc>
          <w:tcPr>
            <w:tcW w:type="dxa" w:w="3000"/>
            <w:shd w:fill="F2EDE8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/>
                <w:bCs/>
                <w:sz w:val="19"/>
                <w:szCs w:val="19"/>
              </w:rPr>
              <w:t xml:space="preserve">Telefon</w:t>
            </w:r>
          </w:p>
        </w:tc>
        <w:tc>
          <w:tcPr>
            <w:tcW w:type="dxa" w:w="602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+420 774 102 590</w:t>
            </w:r>
          </w:p>
        </w:tc>
      </w:tr>
      <w:tr>
        <w:tc>
          <w:tcPr>
            <w:tcW w:type="dxa" w:w="3000"/>
            <w:shd w:fill="F2EDE8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/>
                <w:bCs/>
                <w:sz w:val="19"/>
                <w:szCs w:val="19"/>
              </w:rPr>
              <w:t xml:space="preserve">Místo plnění</w:t>
            </w:r>
          </w:p>
        </w:tc>
        <w:tc>
          <w:tcPr>
            <w:tcW w:type="dxa" w:w="602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Klementinka: dům příběhů, tř. Václava Klementa 601/13, 293 01 Mladá Boleslav</w:t>
            </w:r>
          </w:p>
        </w:tc>
      </w:tr>
    </w:tbl>
    <w:p>
      <w:pPr>
        <w:spacing w:after="20" w:line="276"/>
      </w:pPr>
      <w:r>
        <w:rPr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pStyle w:val="Heading1"/>
        <w:spacing w:after="120" w:before="300"/>
      </w:pPr>
      <w:r>
        <w:rPr>
          <w:b/>
          <w:bCs/>
          <w:color w:val="7A2E22"/>
          <w:sz w:val="27"/>
          <w:szCs w:val="27"/>
        </w:rPr>
        <w:t xml:space="preserve">2. Předmět a rozsah zakázky</w:t>
      </w:r>
    </w:p>
    <w:p>
      <w:pPr>
        <w:spacing w:after="120" w:line="276"/>
      </w:pPr>
      <w:r>
        <w:rPr>
          <w:b w:val="false"/>
          <w:bCs w:val="false"/>
          <w:i w:val="false"/>
          <w:iCs w:val="false"/>
          <w:sz w:val="21"/>
          <w:szCs w:val="21"/>
        </w:rPr>
        <w:t xml:space="preserve">Předmětem zakázky je výroba, dodávka a montáž truhlářských výrobků na míru pro 1. NP objektu „Klementinka: dům příběhů“ v Mladé Boleslavi. Rozsah:</w:t>
      </w:r>
    </w:p>
    <w:tbl>
      <w:tblPr>
        <w:tblW w:type="dxa" w:w="9020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DDDDDD" w:sz="2"/>
          <w:insideV w:val="single" w:color="DDDDDD" w:sz="2"/>
        </w:tblBorders>
      </w:tblPr>
      <w:tblGrid>
        <w:gridCol w:w="1400"/>
        <w:gridCol w:w="4620"/>
        <w:gridCol w:w="3000"/>
      </w:tblGrid>
      <w:tr>
        <w:trPr>
          <w:tblHeader/>
        </w:trPr>
        <w:tc>
          <w:tcPr>
            <w:tcW w:type="dxa" w:w="1400"/>
            <w:shd w:fill="7A2E22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Ozn.</w:t>
            </w:r>
          </w:p>
        </w:tc>
        <w:tc>
          <w:tcPr>
            <w:tcW w:type="dxa" w:w="4620"/>
            <w:shd w:fill="7A2E22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Položka</w:t>
            </w:r>
          </w:p>
        </w:tc>
        <w:tc>
          <w:tcPr>
            <w:tcW w:type="dxa" w:w="3000"/>
            <w:shd w:fill="7A2E22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Počet [ks]</w:t>
            </w:r>
          </w:p>
        </w:tc>
      </w:tr>
      <w:tr>
        <w:tc>
          <w:tcPr>
            <w:tcW w:type="dxa" w:w="140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NT01</w:t>
            </w:r>
          </w:p>
        </w:tc>
        <w:tc>
          <w:tcPr>
            <w:tcW w:type="dxa" w:w="462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Stůl bistro</w:t>
            </w:r>
          </w:p>
        </w:tc>
        <w:tc>
          <w:tcPr>
            <w:tcW w:type="dxa" w:w="300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  <w:jc w:val="center"/>
            </w:pPr>
            <w:r>
              <w:rPr>
                <w:b w:val="false"/>
                <w:bCs w:val="false"/>
                <w:sz w:val="19"/>
                <w:szCs w:val="19"/>
              </w:rPr>
              <w:t xml:space="preserve">11</w:t>
            </w:r>
          </w:p>
        </w:tc>
      </w:tr>
      <w:tr>
        <w:tc>
          <w:tcPr>
            <w:tcW w:type="dxa" w:w="140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NT03</w:t>
            </w:r>
          </w:p>
        </w:tc>
        <w:tc>
          <w:tcPr>
            <w:tcW w:type="dxa" w:w="462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Stůl pracovní (flexibilní místo) 2600×640</w:t>
            </w:r>
          </w:p>
        </w:tc>
        <w:tc>
          <w:tcPr>
            <w:tcW w:type="dxa" w:w="300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  <w:jc w:val="center"/>
            </w:pPr>
            <w:r>
              <w:rPr>
                <w:b w:val="false"/>
                <w:bCs w:val="false"/>
                <w:sz w:val="19"/>
                <w:szCs w:val="19"/>
              </w:rPr>
              <w:t xml:space="preserve">14</w:t>
            </w:r>
          </w:p>
        </w:tc>
      </w:tr>
      <w:tr>
        <w:tc>
          <w:tcPr>
            <w:tcW w:type="dxa" w:w="140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NT04</w:t>
            </w:r>
          </w:p>
        </w:tc>
        <w:tc>
          <w:tcPr>
            <w:tcW w:type="dxa" w:w="462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Stůl jednací 2200×1300 (se zásuvkovým boxem)</w:t>
            </w:r>
          </w:p>
        </w:tc>
        <w:tc>
          <w:tcPr>
            <w:tcW w:type="dxa" w:w="300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  <w:jc w:val="center"/>
            </w:pPr>
            <w:r>
              <w:rPr>
                <w:b w:val="false"/>
                <w:bCs w:val="false"/>
                <w:sz w:val="19"/>
                <w:szCs w:val="19"/>
              </w:rPr>
              <w:t xml:space="preserve">3</w:t>
            </w:r>
          </w:p>
        </w:tc>
      </w:tr>
      <w:tr>
        <w:tc>
          <w:tcPr>
            <w:tcW w:type="dxa" w:w="140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NT05</w:t>
            </w:r>
          </w:p>
        </w:tc>
        <w:tc>
          <w:tcPr>
            <w:tcW w:type="dxa" w:w="462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Stůl jednací 1675×1100 (kotvení ke stěně)</w:t>
            </w:r>
          </w:p>
        </w:tc>
        <w:tc>
          <w:tcPr>
            <w:tcW w:type="dxa" w:w="300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  <w:jc w:val="center"/>
            </w:pPr>
            <w:r>
              <w:rPr>
                <w:b w:val="false"/>
                <w:bCs w:val="false"/>
                <w:sz w:val="19"/>
                <w:szCs w:val="19"/>
              </w:rPr>
              <w:t xml:space="preserve">1</w:t>
            </w:r>
          </w:p>
        </w:tc>
      </w:tr>
      <w:tr>
        <w:tc>
          <w:tcPr>
            <w:tcW w:type="dxa" w:w="140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NT06</w:t>
            </w:r>
          </w:p>
        </w:tc>
        <w:tc>
          <w:tcPr>
            <w:tcW w:type="dxa" w:w="462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Stůl k sedačce / pracovní místo</w:t>
            </w:r>
          </w:p>
        </w:tc>
        <w:tc>
          <w:tcPr>
            <w:tcW w:type="dxa" w:w="300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  <w:jc w:val="center"/>
            </w:pPr>
            <w:r>
              <w:rPr>
                <w:b w:val="false"/>
                <w:bCs w:val="false"/>
                <w:sz w:val="19"/>
                <w:szCs w:val="19"/>
              </w:rPr>
              <w:t xml:space="preserve">1</w:t>
            </w:r>
          </w:p>
        </w:tc>
      </w:tr>
      <w:tr>
        <w:tc>
          <w:tcPr>
            <w:tcW w:type="dxa" w:w="140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NT15</w:t>
            </w:r>
          </w:p>
        </w:tc>
        <w:tc>
          <w:tcPr>
            <w:tcW w:type="dxa" w:w="462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Stůl phonebooth – nástěnná deska 1200×500</w:t>
            </w:r>
          </w:p>
        </w:tc>
        <w:tc>
          <w:tcPr>
            <w:tcW w:type="dxa" w:w="300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  <w:jc w:val="center"/>
            </w:pPr>
            <w:r>
              <w:rPr>
                <w:b w:val="false"/>
                <w:bCs w:val="false"/>
                <w:sz w:val="19"/>
                <w:szCs w:val="19"/>
              </w:rPr>
              <w:t xml:space="preserve">2</w:t>
            </w:r>
          </w:p>
        </w:tc>
      </w:tr>
    </w:tbl>
    <w:p>
      <w:pPr>
        <w:spacing w:after="20" w:line="276"/>
      </w:pPr>
      <w:r>
        <w:rPr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spacing w:after="30" w:line="276"/>
      </w:pPr>
      <w:r>
        <w:rPr>
          <w:b/>
          <w:bCs/>
          <w:i w:val="false"/>
          <w:iCs w:val="false"/>
          <w:sz w:val="21"/>
          <w:szCs w:val="21"/>
        </w:rPr>
        <w:t xml:space="preserve">Předpokládaná hodnota zakázky (orientační): 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cca 300 000 Kč bez DPH.</w:t>
      </w:r>
    </w:p>
    <w:p>
      <w:pPr>
        <w:spacing w:after="60" w:line="276"/>
      </w:pPr>
      <w:r>
        <w:rPr>
          <w:b w:val="false"/>
          <w:bCs w:val="false"/>
          <w:i/>
          <w:iCs/>
          <w:color w:val="595959"/>
          <w:sz w:val="21"/>
          <w:szCs w:val="21"/>
        </w:rPr>
        <w:t xml:space="preserve">Jde o orientační údaj vycházející z rozpočtu zadavatele; není maximální ani závaznou cenou a nabídková cena jí není omezena.</w:t>
      </w:r>
    </w:p>
    <w:p>
      <w:pPr>
        <w:pStyle w:val="Heading2"/>
        <w:spacing w:after="80" w:before="200"/>
      </w:pPr>
      <w:r>
        <w:rPr>
          <w:b/>
          <w:bCs/>
          <w:color w:val="222222"/>
          <w:sz w:val="22"/>
          <w:szCs w:val="22"/>
        </w:rPr>
        <w:t xml:space="preserve">2.1 Co NENÍ součástí zakázky</w:t>
      </w:r>
    </w:p>
    <w:p>
      <w:pPr>
        <w:pStyle w:val="ListParagraph"/>
        <w:numPr>
          <w:ilvl w:val="0"/>
          <w:numId w:val="1"/>
        </w:numPr>
        <w:spacing w:after="60" w:line="268"/>
      </w:pPr>
      <w:r>
        <w:rPr>
          <w:sz w:val="21"/>
          <w:szCs w:val="21"/>
        </w:rPr>
        <w:t xml:space="preserve">Atypický nábytek (kuchyně, recepce, sedačky, skříně), kuchyňské spotřebiče a sanitární technika – zajišťuje jiný dodavatel.</w:t>
      </w:r>
    </w:p>
    <w:p>
      <w:pPr>
        <w:pStyle w:val="ListParagraph"/>
        <w:numPr>
          <w:ilvl w:val="0"/>
          <w:numId w:val="1"/>
        </w:numPr>
        <w:spacing w:after="60" w:line="268"/>
      </w:pPr>
      <w:r>
        <w:rPr>
          <w:sz w:val="21"/>
          <w:szCs w:val="21"/>
        </w:rPr>
        <w:t xml:space="preserve">Volný nábytek a produkty (židle, taburety, věšáky, koše, háčky, květináče) a sanitární doplňky – pořizuje zadavatel samostatně.</w:t>
      </w:r>
    </w:p>
    <w:p>
      <w:pPr>
        <w:pStyle w:val="ListParagraph"/>
        <w:numPr>
          <w:ilvl w:val="0"/>
          <w:numId w:val="1"/>
        </w:numPr>
        <w:spacing w:after="60" w:line="268"/>
      </w:pPr>
      <w:r>
        <w:rPr>
          <w:sz w:val="21"/>
          <w:szCs w:val="21"/>
        </w:rPr>
        <w:t xml:space="preserve">Navigační systém a stavební práce (elektroinstalace pro zásuvkové boxy zajistí koordinovaně jiná profese; dodavatel dodá a osadí samotný zásuvkový box do desky).</w:t>
      </w:r>
    </w:p>
    <w:p>
      <w:pPr>
        <w:pStyle w:val="Heading1"/>
        <w:spacing w:after="120" w:before="300"/>
      </w:pPr>
      <w:r>
        <w:rPr>
          <w:b/>
          <w:bCs/>
          <w:color w:val="7A2E22"/>
          <w:sz w:val="27"/>
          <w:szCs w:val="27"/>
        </w:rPr>
        <w:t xml:space="preserve">3. Zadávací podklady</w:t>
      </w:r>
    </w:p>
    <w:p>
      <w:pPr>
        <w:spacing w:after="120" w:line="276"/>
      </w:pPr>
      <w:r>
        <w:rPr>
          <w:b w:val="false"/>
          <w:bCs w:val="false"/>
          <w:i w:val="false"/>
          <w:iCs w:val="false"/>
          <w:sz w:val="21"/>
          <w:szCs w:val="21"/>
        </w:rPr>
        <w:t xml:space="preserve">Podklady jsou ke stažení na webu HUB Mladá Boleslav (sekce tendr). Součástí zadání jsou:</w:t>
      </w:r>
    </w:p>
    <w:tbl>
      <w:tblPr>
        <w:tblW w:type="dxa" w:w="9020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DDDDDD" w:sz="2"/>
          <w:insideV w:val="single" w:color="DDDDDD" w:sz="2"/>
        </w:tblBorders>
      </w:tblPr>
      <w:tblGrid>
        <w:gridCol w:w="2100"/>
        <w:gridCol w:w="4620"/>
        <w:gridCol w:w="2300"/>
      </w:tblGrid>
      <w:tr>
        <w:trPr>
          <w:tblHeader/>
        </w:trPr>
        <w:tc>
          <w:tcPr>
            <w:tcW w:type="dxa" w:w="2100"/>
            <w:shd w:fill="7A2E22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Podklad</w:t>
            </w:r>
          </w:p>
        </w:tc>
        <w:tc>
          <w:tcPr>
            <w:tcW w:type="dxa" w:w="4620"/>
            <w:shd w:fill="7A2E22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Obsah</w:t>
            </w:r>
          </w:p>
        </w:tc>
        <w:tc>
          <w:tcPr>
            <w:tcW w:type="dxa" w:w="2300"/>
            <w:shd w:fill="7A2E22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Poznámka</w:t>
            </w:r>
          </w:p>
        </w:tc>
      </w:tr>
      <w:tr>
        <w:tc>
          <w:tcPr>
            <w:tcW w:type="dxa" w:w="210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A.2.2</w:t>
            </w:r>
          </w:p>
        </w:tc>
        <w:tc>
          <w:tcPr>
            <w:tcW w:type="dxa" w:w="462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Katalog typického nábytku (NT) – výkresy, rozměry, materiály</w:t>
            </w:r>
          </w:p>
        </w:tc>
        <w:tc>
          <w:tcPr>
            <w:tcW w:type="dxa" w:w="230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závazné pro provedení</w:t>
            </w:r>
          </w:p>
        </w:tc>
      </w:tr>
      <w:tr>
        <w:tc>
          <w:tcPr>
            <w:tcW w:type="dxa" w:w="210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xlsx</w:t>
            </w:r>
          </w:p>
        </w:tc>
        <w:tc>
          <w:tcPr>
            <w:tcW w:type="dxa" w:w="462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Výkaz výměr – Truhlářské výrobky</w:t>
            </w:r>
          </w:p>
        </w:tc>
        <w:tc>
          <w:tcPr>
            <w:tcW w:type="dxa" w:w="230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k ocenění uchazečem</w:t>
            </w:r>
          </w:p>
        </w:tc>
      </w:tr>
      <w:tr>
        <w:tc>
          <w:tcPr>
            <w:tcW w:type="dxa" w:w="210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docx</w:t>
            </w:r>
          </w:p>
        </w:tc>
        <w:tc>
          <w:tcPr>
            <w:tcW w:type="dxa" w:w="462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Krycí list nabídky</w:t>
            </w:r>
          </w:p>
        </w:tc>
        <w:tc>
          <w:tcPr>
            <w:tcW w:type="dxa" w:w="230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vyplní uchazeč</w:t>
            </w:r>
          </w:p>
        </w:tc>
      </w:tr>
    </w:tbl>
    <w:p>
      <w:pPr>
        <w:spacing w:after="20" w:line="276"/>
      </w:pPr>
      <w:r>
        <w:rPr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pStyle w:val="Heading1"/>
        <w:spacing w:after="120" w:before="300"/>
      </w:pPr>
      <w:r>
        <w:rPr>
          <w:b/>
          <w:bCs/>
          <w:color w:val="7A2E22"/>
          <w:sz w:val="27"/>
          <w:szCs w:val="27"/>
        </w:rPr>
        <w:t xml:space="preserve">4. Technická specifikace</w:t>
      </w:r>
    </w:p>
    <w:p>
      <w:pPr>
        <w:spacing w:after="120" w:line="276"/>
      </w:pPr>
      <w:r>
        <w:rPr>
          <w:b w:val="false"/>
          <w:bCs w:val="false"/>
          <w:i w:val="false"/>
          <w:iCs w:val="false"/>
          <w:sz w:val="21"/>
          <w:szCs w:val="21"/>
        </w:rPr>
        <w:t xml:space="preserve">Provedení, rozměry, tloušťky, hrany a detaily jsou dány katalogem A.2.2. Materiálové řešení:</w:t>
      </w:r>
    </w:p>
    <w:p>
      <w:pPr>
        <w:pStyle w:val="ListParagraph"/>
        <w:numPr>
          <w:ilvl w:val="0"/>
          <w:numId w:val="1"/>
        </w:numPr>
        <w:spacing w:after="60" w:line="268"/>
      </w:pPr>
      <w:r>
        <w:rPr>
          <w:b/>
          <w:bCs/>
          <w:i w:val="false"/>
          <w:iCs w:val="false"/>
          <w:sz w:val="21"/>
          <w:szCs w:val="21"/>
        </w:rPr>
        <w:t xml:space="preserve">Desky stolů (ZÁVAZNÉ): 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LTD (laminovaná deska) v dekoru dub, referenčně Egger H1180 ST37 Dub Halifax přírodní, tl. 18–19 mm; hrana ABS 2 mm v dekoru desky. DÝHOVANÉ PROVEDENÍ SE NEPOŽADUJE – výkresy v katalogu A.2.2 uvádějí dýhované MDF dub, závazné je však laminované provedení v dekoru dub dle této specifikace. Záměna za jiný dekor dub Egger ve stejné cenové skupině nemá vliv na nabídkovou cenu.</w:t>
      </w:r>
    </w:p>
    <w:p>
      <w:pPr>
        <w:pStyle w:val="ListParagraph"/>
        <w:numPr>
          <w:ilvl w:val="0"/>
          <w:numId w:val="1"/>
        </w:numPr>
        <w:spacing w:after="60" w:line="268"/>
      </w:pPr>
      <w:r>
        <w:rPr>
          <w:b/>
          <w:bCs/>
          <w:i w:val="false"/>
          <w:iCs w:val="false"/>
          <w:sz w:val="21"/>
          <w:szCs w:val="21"/>
        </w:rPr>
        <w:t xml:space="preserve">Nosné konstrukce a podnože: 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ocel, komaxit RAL 7016 (antracit) – dle katalogu (jekl 30×30, ocelová trubka bezešvá, křížové/talířové podnože).</w:t>
      </w:r>
    </w:p>
    <w:p>
      <w:pPr>
        <w:pStyle w:val="ListParagraph"/>
        <w:numPr>
          <w:ilvl w:val="0"/>
          <w:numId w:val="1"/>
        </w:numPr>
        <w:spacing w:after="60" w:line="268"/>
      </w:pPr>
      <w:r>
        <w:rPr>
          <w:b/>
          <w:bCs/>
          <w:i w:val="false"/>
          <w:iCs w:val="false"/>
          <w:sz w:val="21"/>
          <w:szCs w:val="21"/>
        </w:rPr>
        <w:t xml:space="preserve">Stoly NT04: 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výklopný zásuvkový box 2×230 V, HDMI, USB, USB-C osazený v desce; NT05 kotvení ke stěně; NT15 kotvení ke zdi; NT03 zádová clona, háček a kabelová průchodka.</w:t>
      </w:r>
    </w:p>
    <w:p>
      <w:pPr>
        <w:pStyle w:val="ListParagraph"/>
        <w:numPr>
          <w:ilvl w:val="0"/>
          <w:numId w:val="1"/>
        </w:numPr>
        <w:spacing w:after="60" w:line="268"/>
      </w:pPr>
      <w:r>
        <w:rPr>
          <w:b/>
          <w:bCs/>
          <w:i w:val="false"/>
          <w:iCs w:val="false"/>
          <w:sz w:val="21"/>
          <w:szCs w:val="21"/>
        </w:rPr>
        <w:t xml:space="preserve">Zaměření a vzorky: 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dodavatel před výrobou provede zaměření skutečného stavu na místě a předloží ke schválení vzorek dekoru a povrchové úpravy.</w:t>
      </w:r>
    </w:p>
    <w:p>
      <w:pPr>
        <w:pStyle w:val="Heading1"/>
        <w:spacing w:after="120" w:before="300"/>
      </w:pPr>
      <w:r>
        <w:rPr>
          <w:b/>
          <w:bCs/>
          <w:color w:val="7A2E22"/>
          <w:sz w:val="27"/>
          <w:szCs w:val="27"/>
        </w:rPr>
        <w:t xml:space="preserve">5. Hodnoticí kritéria</w:t>
      </w:r>
    </w:p>
    <w:p>
      <w:pPr>
        <w:spacing w:after="120" w:line="276"/>
      </w:pPr>
      <w:r>
        <w:rPr>
          <w:b w:val="false"/>
          <w:bCs w:val="false"/>
          <w:i w:val="false"/>
          <w:iCs w:val="false"/>
          <w:sz w:val="21"/>
          <w:szCs w:val="21"/>
        </w:rPr>
        <w:t xml:space="preserve">Nabídky budou hodnoceny podle ekonomické výhodnosti:</w:t>
      </w:r>
    </w:p>
    <w:tbl>
      <w:tblPr>
        <w:tblW w:type="dxa" w:w="9020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DDDDDD" w:sz="2"/>
          <w:insideV w:val="single" w:color="DDDDDD" w:sz="2"/>
        </w:tblBorders>
      </w:tblPr>
      <w:tblGrid>
        <w:gridCol w:w="4520"/>
        <w:gridCol w:w="1500"/>
        <w:gridCol w:w="3000"/>
      </w:tblGrid>
      <w:tr>
        <w:trPr>
          <w:tblHeader/>
        </w:trPr>
        <w:tc>
          <w:tcPr>
            <w:tcW w:type="dxa" w:w="4520"/>
            <w:shd w:fill="7A2E22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Kritérium</w:t>
            </w:r>
          </w:p>
        </w:tc>
        <w:tc>
          <w:tcPr>
            <w:tcW w:type="dxa" w:w="1500"/>
            <w:shd w:fill="7A2E22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Váha</w:t>
            </w:r>
          </w:p>
        </w:tc>
        <w:tc>
          <w:tcPr>
            <w:tcW w:type="dxa" w:w="3000"/>
            <w:shd w:fill="7A2E22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Způsob hodnocení</w:t>
            </w:r>
          </w:p>
        </w:tc>
      </w:tr>
      <w:tr>
        <w:tc>
          <w:tcPr>
            <w:tcW w:type="dxa" w:w="452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Cena (celková nabídková cena bez DPH)</w:t>
            </w:r>
          </w:p>
        </w:tc>
        <w:tc>
          <w:tcPr>
            <w:tcW w:type="dxa" w:w="150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  <w:jc w:val="center"/>
            </w:pPr>
            <w:r>
              <w:rPr>
                <w:b w:val="false"/>
                <w:bCs w:val="false"/>
                <w:sz w:val="19"/>
                <w:szCs w:val="19"/>
              </w:rPr>
              <w:t xml:space="preserve">60 %</w:t>
            </w:r>
          </w:p>
        </w:tc>
        <w:tc>
          <w:tcPr>
            <w:tcW w:type="dxa" w:w="300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nejnižší cena = nejvíce bodů</w:t>
            </w:r>
          </w:p>
        </w:tc>
      </w:tr>
      <w:tr>
        <w:tc>
          <w:tcPr>
            <w:tcW w:type="dxa" w:w="452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Rychlost (termín dodání a montáže)</w:t>
            </w:r>
          </w:p>
        </w:tc>
        <w:tc>
          <w:tcPr>
            <w:tcW w:type="dxa" w:w="150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  <w:jc w:val="center"/>
            </w:pPr>
            <w:r>
              <w:rPr>
                <w:b w:val="false"/>
                <w:bCs w:val="false"/>
                <w:sz w:val="19"/>
                <w:szCs w:val="19"/>
              </w:rPr>
              <w:t xml:space="preserve">40 %</w:t>
            </w:r>
          </w:p>
        </w:tc>
        <w:tc>
          <w:tcPr>
            <w:tcW w:type="dxa" w:w="300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nejkratší lhůta = nejvíce bodů</w:t>
            </w:r>
          </w:p>
        </w:tc>
      </w:tr>
    </w:tbl>
    <w:p>
      <w:pPr>
        <w:spacing w:after="20" w:line="276"/>
      </w:pPr>
      <w:r>
        <w:rPr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pStyle w:val="ListParagraph"/>
        <w:numPr>
          <w:ilvl w:val="0"/>
          <w:numId w:val="1"/>
        </w:numPr>
        <w:spacing w:after="60" w:line="268"/>
      </w:pPr>
      <w:r>
        <w:rPr>
          <w:b/>
          <w:bCs/>
          <w:i w:val="false"/>
          <w:iCs w:val="false"/>
          <w:sz w:val="21"/>
          <w:szCs w:val="21"/>
        </w:rPr>
        <w:t xml:space="preserve">Cena: 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body = (nejnižší cena / hodnocená cena) × 100 × 0,60.</w:t>
      </w:r>
    </w:p>
    <w:p>
      <w:pPr>
        <w:pStyle w:val="ListParagraph"/>
        <w:numPr>
          <w:ilvl w:val="0"/>
          <w:numId w:val="1"/>
        </w:numPr>
        <w:spacing w:after="60" w:line="268"/>
      </w:pPr>
      <w:r>
        <w:rPr>
          <w:b/>
          <w:bCs/>
          <w:i w:val="false"/>
          <w:iCs w:val="false"/>
          <w:sz w:val="21"/>
          <w:szCs w:val="21"/>
        </w:rPr>
        <w:t xml:space="preserve">Rychlost: 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body = (nejkratší lhůta / hodnocená lhůta) × 100 × 0,40. Lhůta = počet kalendářních dnů od zaměření do předání smontovaného díla.</w:t>
      </w:r>
    </w:p>
    <w:p>
      <w:pPr>
        <w:spacing w:after="120" w:line="276"/>
      </w:pPr>
      <w:r>
        <w:rPr>
          <w:b/>
          <w:bCs/>
          <w:i w:val="false"/>
          <w:iCs w:val="false"/>
          <w:sz w:val="21"/>
          <w:szCs w:val="21"/>
        </w:rPr>
        <w:t xml:space="preserve">Nejvýhodnější je nabídka s nejvyšším celkovým počtem bodů (max. 100).</w:t>
      </w:r>
    </w:p>
    <w:p>
      <w:pPr>
        <w:pStyle w:val="Heading1"/>
        <w:spacing w:after="120" w:before="300"/>
      </w:pPr>
      <w:r>
        <w:rPr>
          <w:b/>
          <w:bCs/>
          <w:color w:val="7A2E22"/>
          <w:sz w:val="27"/>
          <w:szCs w:val="27"/>
        </w:rPr>
        <w:t xml:space="preserve">6. Požadovaný obsah nabídky</w:t>
      </w:r>
    </w:p>
    <w:p>
      <w:pPr>
        <w:pStyle w:val="ListParagraph"/>
        <w:numPr>
          <w:ilvl w:val="0"/>
          <w:numId w:val="1"/>
        </w:numPr>
        <w:spacing w:after="60" w:line="268"/>
      </w:pPr>
      <w:r>
        <w:rPr>
          <w:sz w:val="21"/>
          <w:szCs w:val="21"/>
        </w:rPr>
        <w:t xml:space="preserve">Vyplněný krycí list nabídky (identifikace uchazeče).</w:t>
      </w:r>
    </w:p>
    <w:p>
      <w:pPr>
        <w:pStyle w:val="ListParagraph"/>
        <w:numPr>
          <w:ilvl w:val="0"/>
          <w:numId w:val="1"/>
        </w:numPr>
        <w:spacing w:after="60" w:line="268"/>
      </w:pPr>
      <w:r>
        <w:rPr>
          <w:sz w:val="21"/>
          <w:szCs w:val="21"/>
        </w:rPr>
        <w:t xml:space="preserve">Vyplněný výkaz výměr – jednotkové a celkové ceny, celková cena bez i s DPH.</w:t>
      </w:r>
    </w:p>
    <w:p>
      <w:pPr>
        <w:pStyle w:val="ListParagraph"/>
        <w:numPr>
          <w:ilvl w:val="0"/>
          <w:numId w:val="1"/>
        </w:numPr>
        <w:spacing w:after="60" w:line="268"/>
      </w:pPr>
      <w:r>
        <w:rPr>
          <w:sz w:val="21"/>
          <w:szCs w:val="21"/>
        </w:rPr>
        <w:t xml:space="preserve">Nabídnutý termín dodání a montáže (kalendářní dny) – podklad pro kritérium rychlost.</w:t>
      </w:r>
    </w:p>
    <w:p>
      <w:pPr>
        <w:pStyle w:val="ListParagraph"/>
        <w:numPr>
          <w:ilvl w:val="0"/>
          <w:numId w:val="1"/>
        </w:numPr>
        <w:spacing w:after="60" w:line="268"/>
      </w:pPr>
      <w:r>
        <w:rPr>
          <w:sz w:val="21"/>
          <w:szCs w:val="21"/>
        </w:rPr>
        <w:t xml:space="preserve">Doklad o oprávnění k podnikání (výpis z rejstříku).</w:t>
      </w:r>
    </w:p>
    <w:p>
      <w:pPr>
        <w:pStyle w:val="Heading1"/>
        <w:spacing w:after="120" w:before="300"/>
      </w:pPr>
      <w:r>
        <w:rPr>
          <w:b/>
          <w:bCs/>
          <w:color w:val="7A2E22"/>
          <w:sz w:val="27"/>
          <w:szCs w:val="27"/>
        </w:rPr>
        <w:t xml:space="preserve">7. Harmonogram</w:t>
      </w:r>
    </w:p>
    <w:p>
      <w:pPr>
        <w:spacing w:after="120" w:line="276"/>
      </w:pPr>
      <w:r>
        <w:rPr>
          <w:b w:val="false"/>
          <w:bCs w:val="false"/>
          <w:i w:val="false"/>
          <w:iCs w:val="false"/>
          <w:color w:val="595959"/>
          <w:sz w:val="21"/>
          <w:szCs w:val="21"/>
        </w:rPr>
        <w:t xml:space="preserve">Závazné lhůty výběrového řízení:</w:t>
      </w:r>
    </w:p>
    <w:tbl>
      <w:tblPr>
        <w:tblW w:type="dxa" w:w="9020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DDDDDD" w:sz="2"/>
          <w:insideV w:val="single" w:color="DDDDDD" w:sz="2"/>
        </w:tblBorders>
      </w:tblPr>
      <w:tblGrid>
        <w:gridCol w:w="5020"/>
        <w:gridCol w:w="4000"/>
      </w:tblGrid>
      <w:tr>
        <w:trPr>
          <w:tblHeader/>
        </w:trPr>
        <w:tc>
          <w:tcPr>
            <w:tcW w:type="dxa" w:w="5020"/>
            <w:shd w:fill="7A2E22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Úkon</w:t>
            </w:r>
          </w:p>
        </w:tc>
        <w:tc>
          <w:tcPr>
            <w:tcW w:type="dxa" w:w="4000"/>
            <w:shd w:fill="7A2E22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Termín</w:t>
            </w:r>
          </w:p>
        </w:tc>
      </w:tr>
      <w:tr>
        <w:tc>
          <w:tcPr>
            <w:tcW w:type="dxa" w:w="502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Zpřístupnění podkladů / vyhlášení</w:t>
            </w:r>
          </w:p>
        </w:tc>
        <w:tc>
          <w:tcPr>
            <w:tcW w:type="dxa" w:w="400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11. 9. 2026</w:t>
            </w:r>
          </w:p>
        </w:tc>
      </w:tr>
      <w:tr>
        <w:tc>
          <w:tcPr>
            <w:tcW w:type="dxa" w:w="502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Lhůta pro dotazy uchazečů</w:t>
            </w:r>
          </w:p>
        </w:tc>
        <w:tc>
          <w:tcPr>
            <w:tcW w:type="dxa" w:w="400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do 16. 9. 2026</w:t>
            </w:r>
          </w:p>
        </w:tc>
      </w:tr>
      <w:tr>
        <w:tc>
          <w:tcPr>
            <w:tcW w:type="dxa" w:w="502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Zveřejnění odpovědí na dotazy</w:t>
            </w:r>
          </w:p>
        </w:tc>
        <w:tc>
          <w:tcPr>
            <w:tcW w:type="dxa" w:w="400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do 17. 9. 2026</w:t>
            </w:r>
          </w:p>
        </w:tc>
      </w:tr>
      <w:tr>
        <w:tc>
          <w:tcPr>
            <w:tcW w:type="dxa" w:w="502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Lhůta pro podání nabídek</w:t>
            </w:r>
          </w:p>
        </w:tc>
        <w:tc>
          <w:tcPr>
            <w:tcW w:type="dxa" w:w="400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18. 9. 2026, 12:00 hod.</w:t>
            </w:r>
          </w:p>
        </w:tc>
      </w:tr>
      <w:tr>
        <w:tc>
          <w:tcPr>
            <w:tcW w:type="dxa" w:w="502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Oznámení výsledku výběru</w:t>
            </w:r>
          </w:p>
        </w:tc>
        <w:tc>
          <w:tcPr>
            <w:tcW w:type="dxa" w:w="400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do 22. 9. 2026</w:t>
            </w:r>
          </w:p>
        </w:tc>
      </w:tr>
      <w:tr>
        <w:tc>
          <w:tcPr>
            <w:tcW w:type="dxa" w:w="502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Předpokládané zaměření na místě</w:t>
            </w:r>
          </w:p>
        </w:tc>
        <w:tc>
          <w:tcPr>
            <w:tcW w:type="dxa" w:w="400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10/2026</w:t>
            </w:r>
          </w:p>
        </w:tc>
      </w:tr>
      <w:tr>
        <w:tc>
          <w:tcPr>
            <w:tcW w:type="dxa" w:w="502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Nejzazší termín dokončení dodávky a montáže</w:t>
            </w:r>
          </w:p>
        </w:tc>
        <w:tc>
          <w:tcPr>
            <w:tcW w:type="dxa" w:w="400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31. 10. 2026</w:t>
            </w:r>
          </w:p>
        </w:tc>
      </w:tr>
    </w:tbl>
    <w:p>
      <w:pPr>
        <w:spacing w:after="120" w:line="276"/>
      </w:pPr>
      <w:r>
        <w:rPr>
          <w:b w:val="false"/>
          <w:bCs w:val="false"/>
          <w:i/>
          <w:iCs/>
          <w:color w:val="595959"/>
          <w:sz w:val="21"/>
          <w:szCs w:val="21"/>
        </w:rPr>
        <w:t xml:space="preserve">Rychlost je hodnoticím kritériem (40 %) – uchazeč uvede vlastní (co nejkratší) reálný termín dodání a montáže v rámci nejzazšího termínu.</w:t>
      </w:r>
    </w:p>
    <w:p>
      <w:pPr>
        <w:pStyle w:val="Heading1"/>
        <w:spacing w:after="120" w:before="300"/>
      </w:pPr>
      <w:r>
        <w:rPr>
          <w:b/>
          <w:bCs/>
          <w:color w:val="7A2E22"/>
          <w:sz w:val="27"/>
          <w:szCs w:val="27"/>
        </w:rPr>
        <w:t xml:space="preserve">8. Způsob a lhůta pro podání nabídky</w:t>
      </w:r>
    </w:p>
    <w:p>
      <w:pPr>
        <w:pStyle w:val="ListParagraph"/>
        <w:numPr>
          <w:ilvl w:val="0"/>
          <w:numId w:val="1"/>
        </w:numPr>
        <w:spacing w:after="60" w:line="268"/>
      </w:pPr>
      <w:r>
        <w:rPr>
          <w:b/>
          <w:bCs/>
          <w:i w:val="false"/>
          <w:iCs w:val="false"/>
          <w:sz w:val="21"/>
          <w:szCs w:val="21"/>
        </w:rPr>
        <w:t xml:space="preserve">Forma: 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e-mailem na antonin.ferdan@impacthub.cz.</w:t>
      </w:r>
    </w:p>
    <w:p>
      <w:pPr>
        <w:pStyle w:val="ListParagraph"/>
        <w:numPr>
          <w:ilvl w:val="0"/>
          <w:numId w:val="1"/>
        </w:numPr>
        <w:spacing w:after="60" w:line="268"/>
      </w:pPr>
      <w:r>
        <w:rPr>
          <w:b/>
          <w:bCs/>
          <w:i w:val="false"/>
          <w:iCs w:val="false"/>
          <w:sz w:val="21"/>
          <w:szCs w:val="21"/>
        </w:rPr>
        <w:t xml:space="preserve">Formát: 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nabídka v PDF; vyplněný výkaz výměr rovněž v xlsx.</w:t>
      </w:r>
    </w:p>
    <w:p>
      <w:pPr>
        <w:pStyle w:val="ListParagraph"/>
        <w:numPr>
          <w:ilvl w:val="0"/>
          <w:numId w:val="1"/>
        </w:numPr>
        <w:spacing w:after="60" w:line="268"/>
      </w:pPr>
      <w:r>
        <w:rPr>
          <w:b/>
          <w:bCs/>
          <w:i w:val="false"/>
          <w:iCs w:val="false"/>
          <w:sz w:val="21"/>
          <w:szCs w:val="21"/>
        </w:rPr>
        <w:t xml:space="preserve">Předmět e-mailu: 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„Nabídka – truhlářské výrobky Klementinka 1. NP – [název uchazeče]“.</w:t>
      </w:r>
    </w:p>
    <w:p>
      <w:pPr>
        <w:pStyle w:val="ListParagraph"/>
        <w:numPr>
          <w:ilvl w:val="0"/>
          <w:numId w:val="1"/>
        </w:numPr>
        <w:spacing w:after="60" w:line="268"/>
      </w:pPr>
      <w:r>
        <w:rPr>
          <w:b/>
          <w:bCs/>
          <w:i w:val="false"/>
          <w:iCs w:val="false"/>
          <w:sz w:val="21"/>
          <w:szCs w:val="21"/>
        </w:rPr>
        <w:t xml:space="preserve">Lhůta: 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do 18. 9. 2026, 12:00 hod. Rozhodující je čas doručení do schránky zadavatele.</w:t>
      </w:r>
    </w:p>
    <w:p>
      <w:pPr>
        <w:pStyle w:val="Heading1"/>
        <w:spacing w:after="120" w:before="300"/>
      </w:pPr>
      <w:r>
        <w:rPr>
          <w:b/>
          <w:bCs/>
          <w:color w:val="7A2E22"/>
          <w:sz w:val="27"/>
          <w:szCs w:val="27"/>
        </w:rPr>
        <w:t xml:space="preserve">9. Obchodní a platební podmínky, podmínky plnění</w:t>
      </w:r>
    </w:p>
    <w:p>
      <w:pPr>
        <w:pStyle w:val="ListParagraph"/>
        <w:numPr>
          <w:ilvl w:val="0"/>
          <w:numId w:val="1"/>
        </w:numPr>
        <w:spacing w:after="60" w:line="268"/>
      </w:pPr>
      <w:r>
        <w:rPr>
          <w:b/>
          <w:bCs/>
          <w:i w:val="false"/>
          <w:iCs w:val="false"/>
          <w:sz w:val="21"/>
          <w:szCs w:val="21"/>
        </w:rPr>
        <w:t xml:space="preserve">Zaměření: 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dodavatel provede zaměření před výrobou; za soulad rozměrů odpovídá dodavatel.</w:t>
      </w:r>
    </w:p>
    <w:p>
      <w:pPr>
        <w:pStyle w:val="ListParagraph"/>
        <w:numPr>
          <w:ilvl w:val="0"/>
          <w:numId w:val="1"/>
        </w:numPr>
        <w:spacing w:after="60" w:line="268"/>
      </w:pPr>
      <w:r>
        <w:rPr>
          <w:b/>
          <w:bCs/>
          <w:i w:val="false"/>
          <w:iCs w:val="false"/>
          <w:sz w:val="21"/>
          <w:szCs w:val="21"/>
        </w:rPr>
        <w:t xml:space="preserve">Koordinace: 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dodavatel koordinuje montáž s ostatními profesemi (elektro pro zásuvkové boxy) a s dodavatelem atypického nábytku.</w:t>
      </w:r>
    </w:p>
    <w:p>
      <w:pPr>
        <w:pStyle w:val="ListParagraph"/>
        <w:numPr>
          <w:ilvl w:val="0"/>
          <w:numId w:val="1"/>
        </w:numPr>
        <w:spacing w:after="60" w:line="268"/>
      </w:pPr>
      <w:r>
        <w:rPr>
          <w:b/>
          <w:bCs/>
          <w:i w:val="false"/>
          <w:iCs w:val="false"/>
          <w:sz w:val="21"/>
          <w:szCs w:val="21"/>
        </w:rPr>
        <w:t xml:space="preserve">Záruka: 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min. 24 měsíců na dílo.</w:t>
      </w:r>
    </w:p>
    <w:p>
      <w:pPr>
        <w:pStyle w:val="ListParagraph"/>
        <w:numPr>
          <w:ilvl w:val="0"/>
          <w:numId w:val="1"/>
        </w:numPr>
        <w:spacing w:after="60" w:line="268"/>
      </w:pPr>
      <w:r>
        <w:rPr>
          <w:b/>
          <w:bCs/>
          <w:i w:val="false"/>
          <w:iCs w:val="false"/>
          <w:sz w:val="21"/>
          <w:szCs w:val="21"/>
        </w:rPr>
        <w:t xml:space="preserve">Platební podmínky (návrh): 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záloha max. 30 % po podpisu smlouvy, doplatek po předání a montáži, splatnost faktur 21 dní.</w:t>
      </w:r>
    </w:p>
    <w:p>
      <w:pPr>
        <w:pStyle w:val="Heading1"/>
        <w:spacing w:after="120" w:before="300"/>
      </w:pPr>
      <w:r>
        <w:rPr>
          <w:b/>
          <w:bCs/>
          <w:color w:val="7A2E22"/>
          <w:sz w:val="27"/>
          <w:szCs w:val="27"/>
        </w:rPr>
        <w:t xml:space="preserve">10. Výhrady zadavatele</w:t>
      </w:r>
    </w:p>
    <w:p>
      <w:pPr>
        <w:pStyle w:val="ListParagraph"/>
        <w:numPr>
          <w:ilvl w:val="0"/>
          <w:numId w:val="1"/>
        </w:numPr>
        <w:spacing w:after="60" w:line="268"/>
      </w:pPr>
      <w:r>
        <w:rPr>
          <w:sz w:val="21"/>
          <w:szCs w:val="21"/>
        </w:rPr>
        <w:t xml:space="preserve">Nejedná se o zadávací řízení dle zák. č. 134/2016 Sb.</w:t>
      </w:r>
    </w:p>
    <w:p>
      <w:pPr>
        <w:pStyle w:val="ListParagraph"/>
        <w:numPr>
          <w:ilvl w:val="0"/>
          <w:numId w:val="1"/>
        </w:numPr>
        <w:spacing w:after="60" w:line="268"/>
      </w:pPr>
      <w:r>
        <w:rPr>
          <w:sz w:val="21"/>
          <w:szCs w:val="21"/>
        </w:rPr>
        <w:t xml:space="preserve">Zadavatel si vyhrazuje právo výběrové řízení zrušit, neuzavřít smlouvu s žádným z uchazečů či upravit lhůty, bez nároku uchazečů na náhradu nákladů.</w:t>
      </w:r>
    </w:p>
    <w:p>
      <w:pPr>
        <w:pStyle w:val="ListParagraph"/>
        <w:numPr>
          <w:ilvl w:val="0"/>
          <w:numId w:val="1"/>
        </w:numPr>
        <w:spacing w:after="60" w:line="268"/>
      </w:pPr>
      <w:r>
        <w:rPr>
          <w:sz w:val="21"/>
          <w:szCs w:val="21"/>
        </w:rPr>
        <w:t xml:space="preserve">Podáním nabídky nevzniká nárok na uzavření smlouvy.</w:t>
      </w:r>
    </w:p>
    <w:p>
      <w:pPr>
        <w:pStyle w:val="Heading1"/>
        <w:spacing w:after="120" w:before="300"/>
      </w:pPr>
      <w:r>
        <w:rPr>
          <w:b/>
          <w:bCs/>
          <w:color w:val="7A2E22"/>
          <w:sz w:val="27"/>
          <w:szCs w:val="27"/>
        </w:rPr>
        <w:t xml:space="preserve">11. Přílohy</w:t>
      </w:r>
    </w:p>
    <w:p>
      <w:pPr>
        <w:pStyle w:val="ListParagraph"/>
        <w:numPr>
          <w:ilvl w:val="0"/>
          <w:numId w:val="1"/>
        </w:numPr>
        <w:spacing w:after="60" w:line="268"/>
      </w:pPr>
      <w:r>
        <w:rPr>
          <w:sz w:val="21"/>
          <w:szCs w:val="21"/>
        </w:rPr>
        <w:t xml:space="preserve">Příloha 1 – A.2.2 Katalog typického nábytku (NT)</w:t>
      </w:r>
    </w:p>
    <w:p>
      <w:pPr>
        <w:pStyle w:val="ListParagraph"/>
        <w:numPr>
          <w:ilvl w:val="0"/>
          <w:numId w:val="1"/>
        </w:numPr>
        <w:spacing w:after="60" w:line="268"/>
      </w:pPr>
      <w:r>
        <w:rPr>
          <w:sz w:val="21"/>
          <w:szCs w:val="21"/>
        </w:rPr>
        <w:t xml:space="preserve">Příloha 2 – Výkaz výměr – Truhlářské výrobky (xlsx)</w:t>
      </w:r>
    </w:p>
    <w:p>
      <w:pPr>
        <w:pStyle w:val="ListParagraph"/>
        <w:numPr>
          <w:ilvl w:val="0"/>
          <w:numId w:val="1"/>
        </w:numPr>
        <w:spacing w:after="60" w:line="268"/>
      </w:pPr>
      <w:r>
        <w:rPr>
          <w:sz w:val="21"/>
          <w:szCs w:val="21"/>
        </w:rPr>
        <w:t xml:space="preserve">Příloha 3 – Krycí list nabídky</w:t>
      </w:r>
    </w:p>
    <w:p>
      <w:pPr>
        <w:spacing w:after="160" w:line="276"/>
      </w:pPr>
      <w:r>
        <w:rPr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spacing w:after="120" w:line="276"/>
      </w:pPr>
      <w:r>
        <w:rPr>
          <w:b w:val="false"/>
          <w:bCs w:val="false"/>
          <w:i w:val="false"/>
          <w:iCs w:val="false"/>
          <w:sz w:val="21"/>
          <w:szCs w:val="21"/>
        </w:rPr>
        <w:t xml:space="preserve">V Mladé Boleslavi dne 11. 9. 2026</w:t>
      </w:r>
    </w:p>
    <w:p>
      <w:pPr>
        <w:spacing w:after="100" w:line="276"/>
      </w:pPr>
      <w:r>
        <w:rPr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spacing w:after="120" w:line="276"/>
      </w:pPr>
      <w:r>
        <w:rPr>
          <w:b w:val="false"/>
          <w:bCs w:val="false"/>
          <w:i w:val="false"/>
          <w:iCs w:val="false"/>
          <w:sz w:val="21"/>
          <w:szCs w:val="21"/>
        </w:rPr>
        <w:t xml:space="preserve">…………………………………………</w:t>
      </w:r>
    </w:p>
    <w:p>
      <w:pPr>
        <w:spacing w:after="20" w:line="276"/>
      </w:pPr>
      <w:r>
        <w:rPr>
          <w:b/>
          <w:bCs/>
          <w:i w:val="false"/>
          <w:iCs w:val="false"/>
          <w:sz w:val="21"/>
          <w:szCs w:val="21"/>
        </w:rPr>
        <w:t xml:space="preserve">HUB Mladá Boleslav, z.ú.</w:t>
      </w:r>
    </w:p>
    <w:p>
      <w:pPr>
        <w:spacing w:after="120" w:line="276"/>
      </w:pPr>
      <w:r>
        <w:rPr>
          <w:b w:val="false"/>
          <w:bCs w:val="false"/>
          <w:i w:val="false"/>
          <w:iCs w:val="false"/>
          <w:color w:val="595959"/>
          <w:sz w:val="21"/>
          <w:szCs w:val="21"/>
        </w:rPr>
        <w:t xml:space="preserve">Antonín Ferdan</w:t>
      </w:r>
    </w:p>
    <w:sectPr>
      <w:headerReference w:type="default" r:id="rId7"/>
      <w:footerReference w:type="default" r:id="rId8"/>
      <w:pgSz w:w="11906" w:h="16838" w:orient="portrait"/>
      <w:pgMar w:top="1300" w:right="1440" w:bottom="13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95959"/>
        <w:sz w:val="16"/>
        <w:szCs w:val="16"/>
      </w:rPr>
      <w:t xml:space="preserve">Strana </w:t>
    </w:r>
    <w:r>
      <w:rPr>
        <w:color w:val="59595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595959"/>
        <w:sz w:val="16"/>
        <w:szCs w:val="16"/>
      </w:rPr>
      <w:t xml:space="preserve"> / </w:t>
    </w:r>
    <w:r>
      <w:rPr>
        <w:color w:val="595959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CCCC" w:sz="4"/>
      </w:pBdr>
      <w:tabs>
        <w:tab w:val="right" w:pos="9020"/>
      </w:tabs>
    </w:pPr>
    <w:r>
      <w:rPr>
        <w:color w:val="595959"/>
        <w:sz w:val="16"/>
        <w:szCs w:val="16"/>
      </w:rPr>
      <w:t xml:space="preserve">Klementinka – truhlářské výrobky – zadání VŘ</w:t>
    </w:r>
    <w:r>
      <w:rPr>
        <w:color w:val="595959"/>
        <w:sz w:val="16"/>
        <w:szCs w:val="16"/>
      </w:rPr>
      <w:t xml:space="preserve">	VŘ-KLEM-TRU-2026-01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Zadání VŘ – truhlářské výrobky Klementinka</dc:title>
  <dc:creator>HUB Mladá Boleslav, z.ú.</dc:creator>
  <cp:lastModifiedBy>Un-named</cp:lastModifiedBy>
  <cp:revision>1</cp:revision>
  <dcterms:created xsi:type="dcterms:W3CDTF">2026-09-15T07:32:18.933Z</dcterms:created>
  <dcterms:modified xsi:type="dcterms:W3CDTF">2026-09-15T07:32:18.945Z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