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595959"/>
          <w:sz w:val="22"/>
          <w:szCs w:val="22"/>
        </w:rPr>
        <w:t xml:space="preserve">KLEMENTINKA: DŮM PŘÍBĚHŮ</w:t>
      </w:r>
    </w:p>
    <w:p>
      <w:pPr>
        <w:spacing w:after="60"/>
      </w:pPr>
      <w:r>
        <w:rPr>
          <w:b/>
          <w:bCs/>
          <w:color w:val="7A2E22"/>
          <w:sz w:val="36"/>
          <w:szCs w:val="36"/>
        </w:rPr>
        <w:t xml:space="preserve">Zadání výběrového řízení – truhlářské výrobky na míru</w:t>
      </w:r>
    </w:p>
    <w:p>
      <w:pPr>
        <w:spacing w:after="40"/>
      </w:pPr>
      <w:r>
        <w:rPr>
          <w:color w:val="333333"/>
          <w:sz w:val="24"/>
          <w:szCs w:val="24"/>
        </w:rPr>
        <w:t xml:space="preserve">Výzva k předložení nabídky na výrobu, dodávku a montáž nábytku na míru (1. NP)</w:t>
      </w:r>
    </w:p>
    <w:p>
      <w:pPr>
        <w:pBdr>
          <w:bottom w:val="single" w:color="7A2E22" w:sz="6"/>
        </w:pBdr>
        <w:spacing w:after="120" w:before="60"/>
      </w:pPr>
      <w:r>
        <w:rPr>
          <w:sz w:val="2"/>
          <w:szCs w:val="2"/>
        </w:rPr>
        <w:t xml:space="preserve"/>
      </w:r>
    </w:p>
    <w:p>
      <w:pPr>
        <w:spacing w:after="40" w:line="276"/>
      </w:pPr>
      <w:r>
        <w:rPr>
          <w:b/>
          <w:bCs/>
          <w:i w:val="false"/>
          <w:iCs w:val="false"/>
          <w:sz w:val="21"/>
          <w:szCs w:val="21"/>
        </w:rPr>
        <w:t xml:space="preserve">Zadavatel: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HUB Mladá Boleslav, z.ú.   </w:t>
      </w:r>
      <w:r>
        <w:rPr>
          <w:b/>
          <w:bCs/>
          <w:i w:val="false"/>
          <w:iCs w:val="false"/>
          <w:sz w:val="21"/>
          <w:szCs w:val="21"/>
        </w:rPr>
        <w:t xml:space="preserve">Investor: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Impact Hub Czechia   </w:t>
      </w:r>
      <w:r>
        <w:rPr>
          <w:b/>
          <w:bCs/>
          <w:i w:val="false"/>
          <w:iCs w:val="false"/>
          <w:sz w:val="21"/>
          <w:szCs w:val="21"/>
        </w:rPr>
        <w:t xml:space="preserve">Projektant: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mjölk architekti</w:t>
      </w:r>
    </w:p>
    <w:p>
      <w:pPr>
        <w:spacing w:after="40" w:line="276"/>
      </w:pPr>
      <w:r>
        <w:rPr>
          <w:b/>
          <w:bCs/>
          <w:i w:val="false"/>
          <w:iCs w:val="false"/>
          <w:sz w:val="21"/>
          <w:szCs w:val="21"/>
        </w:rPr>
        <w:t xml:space="preserve">Datum vyhlášení: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11. 9. 2026   </w:t>
      </w:r>
      <w:r>
        <w:rPr>
          <w:b/>
          <w:bCs/>
          <w:i w:val="false"/>
          <w:iCs w:val="false"/>
          <w:sz w:val="21"/>
          <w:szCs w:val="21"/>
        </w:rPr>
        <w:t xml:space="preserve">Zn.: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VŘ-KLEM-TRU-2026-01</w:t>
      </w:r>
    </w:p>
    <w:p>
      <w:pPr>
        <w:spacing w:after="60" w:line="276"/>
      </w:pPr>
      <w:r>
        <w:rPr>
          <w:b w:val="false"/>
          <w:bCs w:val="false"/>
          <w:i/>
          <w:iCs/>
          <w:color w:val="595959"/>
          <w:sz w:val="21"/>
          <w:szCs w:val="21"/>
        </w:rPr>
        <w:t xml:space="preserve">Nejedná se o zadávací řízení dle zákona č. 134/2016 Sb. Zadavatel je soukromý subjekt a výběr provádí formou oslovení k předložení nabídky; hledá kvalitní a spolehlivé truhlářské dodavatele.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1. Identifikace zadavatele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3000"/>
        <w:gridCol w:w="6020"/>
      </w:tblGrid>
      <w:tr>
        <w:tc>
          <w:tcPr>
            <w:tcW w:type="dxa" w:w="3000"/>
            <w:shd w:fill="F2EDE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sz w:val="19"/>
                <w:szCs w:val="19"/>
              </w:rPr>
              <w:t xml:space="preserve">Zadavatel</w:t>
            </w:r>
          </w:p>
        </w:tc>
        <w:tc>
          <w:tcPr>
            <w:tcW w:type="dxa" w:w="6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HUB Mladá Boleslav, z.ú.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sz w:val="19"/>
                <w:szCs w:val="19"/>
              </w:rPr>
              <w:t xml:space="preserve">IČO</w:t>
            </w:r>
          </w:p>
        </w:tc>
        <w:tc>
          <w:tcPr>
            <w:tcW w:type="dxa" w:w="6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21720070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sz w:val="19"/>
                <w:szCs w:val="19"/>
              </w:rPr>
              <w:t xml:space="preserve">Sídlo / adresa</w:t>
            </w:r>
          </w:p>
        </w:tc>
        <w:tc>
          <w:tcPr>
            <w:tcW w:type="dxa" w:w="6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tř. Václava Klementa 601/13, 293 01 Mladá Boleslav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sz w:val="19"/>
                <w:szCs w:val="19"/>
              </w:rPr>
              <w:t xml:space="preserve">Kontaktní osoba</w:t>
            </w:r>
          </w:p>
        </w:tc>
        <w:tc>
          <w:tcPr>
            <w:tcW w:type="dxa" w:w="6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Antonín Ferdan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sz w:val="19"/>
                <w:szCs w:val="19"/>
              </w:rPr>
              <w:t xml:space="preserve">E-mail pro podání a dotazy</w:t>
            </w:r>
          </w:p>
        </w:tc>
        <w:tc>
          <w:tcPr>
            <w:tcW w:type="dxa" w:w="6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antonin.ferdan@impacthub.cz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sz w:val="19"/>
                <w:szCs w:val="19"/>
              </w:rPr>
              <w:t xml:space="preserve">Telefon</w:t>
            </w:r>
          </w:p>
        </w:tc>
        <w:tc>
          <w:tcPr>
            <w:tcW w:type="dxa" w:w="6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+420 774 102 590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sz w:val="19"/>
                <w:szCs w:val="19"/>
              </w:rPr>
              <w:t xml:space="preserve">Místo plnění</w:t>
            </w:r>
          </w:p>
        </w:tc>
        <w:tc>
          <w:tcPr>
            <w:tcW w:type="dxa" w:w="6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Klementinka: dům příběhů, tř. Václava Klementa 601/13, 293 01 Mladá Boleslav</w:t>
            </w:r>
          </w:p>
        </w:tc>
      </w:tr>
    </w:tbl>
    <w:p>
      <w:pPr>
        <w:spacing w:after="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2. Předmět a rozsah zakázky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Předmětem zakázky je výroba, dodávka a montáž truhlářských výrobků na míru pro 1. NP objektu „Klementinka: dům příběhů“ v Mladé Boleslavi. Rozsah: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1400"/>
        <w:gridCol w:w="4620"/>
        <w:gridCol w:w="3000"/>
      </w:tblGrid>
      <w:tr>
        <w:trPr>
          <w:tblHeader/>
        </w:trPr>
        <w:tc>
          <w:tcPr>
            <w:tcW w:type="dxa" w:w="140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Ozn.</w:t>
            </w:r>
          </w:p>
        </w:tc>
        <w:tc>
          <w:tcPr>
            <w:tcW w:type="dxa" w:w="462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Položka</w:t>
            </w:r>
          </w:p>
        </w:tc>
        <w:tc>
          <w:tcPr>
            <w:tcW w:type="dxa" w:w="300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Počet [ks]</w:t>
            </w:r>
          </w:p>
        </w:tc>
      </w:tr>
      <w:tr>
        <w:tc>
          <w:tcPr>
            <w:tcW w:type="dxa" w:w="1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NT01</w:t>
            </w:r>
          </w:p>
        </w:tc>
        <w:tc>
          <w:tcPr>
            <w:tcW w:type="dxa" w:w="46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Stůl bistro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  <w:jc w:val="center"/>
            </w:pPr>
            <w:r>
              <w:rPr>
                <w:b w:val="false"/>
                <w:bCs w:val="false"/>
                <w:sz w:val="19"/>
                <w:szCs w:val="19"/>
              </w:rPr>
              <w:t xml:space="preserve">11</w:t>
            </w:r>
          </w:p>
        </w:tc>
      </w:tr>
      <w:tr>
        <w:tc>
          <w:tcPr>
            <w:tcW w:type="dxa" w:w="1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NT03</w:t>
            </w:r>
          </w:p>
        </w:tc>
        <w:tc>
          <w:tcPr>
            <w:tcW w:type="dxa" w:w="46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Stůl pracovní (flexibilní místo) 2600×640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  <w:jc w:val="center"/>
            </w:pPr>
            <w:r>
              <w:rPr>
                <w:b w:val="false"/>
                <w:bCs w:val="false"/>
                <w:sz w:val="19"/>
                <w:szCs w:val="19"/>
              </w:rPr>
              <w:t xml:space="preserve">14</w:t>
            </w:r>
          </w:p>
        </w:tc>
      </w:tr>
      <w:tr>
        <w:tc>
          <w:tcPr>
            <w:tcW w:type="dxa" w:w="1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NT04</w:t>
            </w:r>
          </w:p>
        </w:tc>
        <w:tc>
          <w:tcPr>
            <w:tcW w:type="dxa" w:w="46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Stůl jednací 2200×1300 (se zásuvkovým boxem)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  <w:jc w:val="center"/>
            </w:pPr>
            <w:r>
              <w:rPr>
                <w:b w:val="false"/>
                <w:bCs w:val="false"/>
                <w:sz w:val="19"/>
                <w:szCs w:val="19"/>
              </w:rPr>
              <w:t xml:space="preserve">3</w:t>
            </w:r>
          </w:p>
        </w:tc>
      </w:tr>
      <w:tr>
        <w:tc>
          <w:tcPr>
            <w:tcW w:type="dxa" w:w="1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NT05</w:t>
            </w:r>
          </w:p>
        </w:tc>
        <w:tc>
          <w:tcPr>
            <w:tcW w:type="dxa" w:w="46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Stůl jednací 1675×1100 (kotvení ke stěně)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  <w:jc w:val="center"/>
            </w:pPr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</w:tr>
      <w:tr>
        <w:tc>
          <w:tcPr>
            <w:tcW w:type="dxa" w:w="1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NT06</w:t>
            </w:r>
          </w:p>
        </w:tc>
        <w:tc>
          <w:tcPr>
            <w:tcW w:type="dxa" w:w="46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Stůl k sedačce / pracovní místo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  <w:jc w:val="center"/>
            </w:pPr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</w:tr>
      <w:tr>
        <w:tc>
          <w:tcPr>
            <w:tcW w:type="dxa" w:w="14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NT15</w:t>
            </w:r>
          </w:p>
        </w:tc>
        <w:tc>
          <w:tcPr>
            <w:tcW w:type="dxa" w:w="46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Stůl phonebooth – nástěnná deska 1200×500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  <w:jc w:val="center"/>
            </w:pPr>
            <w:r>
              <w:rPr>
                <w:b w:val="false"/>
                <w:bCs w:val="false"/>
                <w:sz w:val="19"/>
                <w:szCs w:val="19"/>
              </w:rPr>
              <w:t xml:space="preserve">2</w:t>
            </w:r>
          </w:p>
        </w:tc>
      </w:tr>
    </w:tbl>
    <w:p>
      <w:pPr>
        <w:spacing w:after="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30" w:line="276"/>
      </w:pPr>
      <w:r>
        <w:rPr>
          <w:b/>
          <w:bCs/>
          <w:i w:val="false"/>
          <w:iCs w:val="false"/>
          <w:sz w:val="21"/>
          <w:szCs w:val="21"/>
        </w:rPr>
        <w:t xml:space="preserve">Předpokládaná hodnota zakázky (orientační):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cca 300 000 Kč bez DPH.</w:t>
      </w:r>
    </w:p>
    <w:p>
      <w:pPr>
        <w:spacing w:after="60" w:line="276"/>
      </w:pPr>
      <w:r>
        <w:rPr>
          <w:b w:val="false"/>
          <w:bCs w:val="false"/>
          <w:i/>
          <w:iCs/>
          <w:color w:val="595959"/>
          <w:sz w:val="21"/>
          <w:szCs w:val="21"/>
        </w:rPr>
        <w:t xml:space="preserve">Jde o orientační údaj vycházející z rozpočtu zadavatele; není maximální ani závaznou cenou a nabídková cena jí není omezena.</w:t>
      </w:r>
    </w:p>
    <w:p>
      <w:pPr>
        <w:pStyle w:val="Heading2"/>
        <w:spacing w:after="80" w:before="200"/>
      </w:pPr>
      <w:r>
        <w:rPr>
          <w:b/>
          <w:bCs/>
          <w:color w:val="222222"/>
          <w:sz w:val="22"/>
          <w:szCs w:val="22"/>
        </w:rPr>
        <w:t xml:space="preserve">2.1 Co NENÍ součástí zakázky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Atypický nábytek (kuchyně, recepce, sedačky, skříně), kuchyňské spotřebiče a sanitární technika – zajišťuje jiný dodavatel.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Volný nábytek a produkty (židle, taburety, věšáky, koše, háčky, květináče) a sanitární doplňky – pořizuje zadavatel samostatně.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Navigační systém a stavební práce (elektroinstalace pro zásuvkové boxy zajistí koordinovaně jiná profese; dodavatel dodá a osadí samotný zásuvkový box do desky).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3. Zadávací podklady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Podklady jsou ke stažení na webu HUB Mladá Boleslav (sekce tendr). Součástí zadání jsou: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2100"/>
        <w:gridCol w:w="4620"/>
        <w:gridCol w:w="2300"/>
      </w:tblGrid>
      <w:tr>
        <w:trPr>
          <w:tblHeader/>
        </w:trPr>
        <w:tc>
          <w:tcPr>
            <w:tcW w:type="dxa" w:w="210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Podklad</w:t>
            </w:r>
          </w:p>
        </w:tc>
        <w:tc>
          <w:tcPr>
            <w:tcW w:type="dxa" w:w="462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Obsah</w:t>
            </w:r>
          </w:p>
        </w:tc>
        <w:tc>
          <w:tcPr>
            <w:tcW w:type="dxa" w:w="230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Poznámka</w:t>
            </w:r>
          </w:p>
        </w:tc>
      </w:tr>
      <w:tr>
        <w:tc>
          <w:tcPr>
            <w:tcW w:type="dxa" w:w="21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A.2.2</w:t>
            </w:r>
          </w:p>
        </w:tc>
        <w:tc>
          <w:tcPr>
            <w:tcW w:type="dxa" w:w="46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Katalog typického nábytku (NT) – výkresy, rozměry, materiály</w:t>
            </w:r>
          </w:p>
        </w:tc>
        <w:tc>
          <w:tcPr>
            <w:tcW w:type="dxa" w:w="23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závazné pro provedení</w:t>
            </w:r>
          </w:p>
        </w:tc>
      </w:tr>
      <w:tr>
        <w:tc>
          <w:tcPr>
            <w:tcW w:type="dxa" w:w="21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xlsx</w:t>
            </w:r>
          </w:p>
        </w:tc>
        <w:tc>
          <w:tcPr>
            <w:tcW w:type="dxa" w:w="46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Výkaz výměr – Truhlářské výrobky</w:t>
            </w:r>
          </w:p>
        </w:tc>
        <w:tc>
          <w:tcPr>
            <w:tcW w:type="dxa" w:w="23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k ocenění uchazečem</w:t>
            </w:r>
          </w:p>
        </w:tc>
      </w:tr>
      <w:tr>
        <w:tc>
          <w:tcPr>
            <w:tcW w:type="dxa" w:w="21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docx</w:t>
            </w:r>
          </w:p>
        </w:tc>
        <w:tc>
          <w:tcPr>
            <w:tcW w:type="dxa" w:w="46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Krycí list nabídky</w:t>
            </w:r>
          </w:p>
        </w:tc>
        <w:tc>
          <w:tcPr>
            <w:tcW w:type="dxa" w:w="23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vyplní uchazeč</w:t>
            </w:r>
          </w:p>
        </w:tc>
      </w:tr>
    </w:tbl>
    <w:p>
      <w:pPr>
        <w:spacing w:after="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4. Technická specifikace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Provedení, rozměry, tloušťky, hrany a detaily jsou dány katalogem A.2.2. Materiálové řešení: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Desky stolů: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dub – dýhované MDF (fládr, 19 mm) dle katalogu, příp. lamino v dekoru dub; hrany dub. Přesný dekor bude sladěn s již dodávaným atypickým nábytkem (Egger, dub) a potvrzen zadavatelem před výrobou.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Nosné konstrukce a podnože: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ocel, komaxit RAL 7016 (antracit) – dle katalogu (jekl 30×30, ocelová trubka bezešvá, křížové/talířové podnože).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Stoly NT04: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výklopný zásuvkový box 2×230 V, HDMI, USB, USB-C osazený v desce; NT05 kotvení ke stěně; NT15 kotvení ke zdi; NT03 zádová clona, háček a kabelová průchodka.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Zaměření a vzorky: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dodavatel před výrobou provede zaměření skutečného stavu na místě a předloží ke schválení vzorek dekoru a povrchové úpravy.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5. Hodnoticí kritéria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Nabídky budou hodnoceny podle ekonomické výhodnosti: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4520"/>
        <w:gridCol w:w="1500"/>
        <w:gridCol w:w="3000"/>
      </w:tblGrid>
      <w:tr>
        <w:trPr>
          <w:tblHeader/>
        </w:trPr>
        <w:tc>
          <w:tcPr>
            <w:tcW w:type="dxa" w:w="452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Kritérium</w:t>
            </w:r>
          </w:p>
        </w:tc>
        <w:tc>
          <w:tcPr>
            <w:tcW w:type="dxa" w:w="150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Váha</w:t>
            </w:r>
          </w:p>
        </w:tc>
        <w:tc>
          <w:tcPr>
            <w:tcW w:type="dxa" w:w="300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Způsob hodnocení</w:t>
            </w:r>
          </w:p>
        </w:tc>
      </w:tr>
      <w:tr>
        <w:tc>
          <w:tcPr>
            <w:tcW w:type="dxa" w:w="45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Cena (celková nabídková cena bez DPH)</w:t>
            </w:r>
          </w:p>
        </w:tc>
        <w:tc>
          <w:tcPr>
            <w:tcW w:type="dxa" w:w="15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  <w:jc w:val="center"/>
            </w:pPr>
            <w:r>
              <w:rPr>
                <w:b w:val="false"/>
                <w:bCs w:val="false"/>
                <w:sz w:val="19"/>
                <w:szCs w:val="19"/>
              </w:rPr>
              <w:t xml:space="preserve">60 %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nejnižší cena = nejvíce bodů</w:t>
            </w:r>
          </w:p>
        </w:tc>
      </w:tr>
      <w:tr>
        <w:tc>
          <w:tcPr>
            <w:tcW w:type="dxa" w:w="45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Rychlost (termín dodání a montáže)</w:t>
            </w:r>
          </w:p>
        </w:tc>
        <w:tc>
          <w:tcPr>
            <w:tcW w:type="dxa" w:w="15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  <w:jc w:val="center"/>
            </w:pPr>
            <w:r>
              <w:rPr>
                <w:b w:val="false"/>
                <w:bCs w:val="false"/>
                <w:sz w:val="19"/>
                <w:szCs w:val="19"/>
              </w:rPr>
              <w:t xml:space="preserve">20 %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nejkratší lhůta = nejvíce bodů</w:t>
            </w:r>
          </w:p>
        </w:tc>
      </w:tr>
      <w:tr>
        <w:tc>
          <w:tcPr>
            <w:tcW w:type="dxa" w:w="45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Reference (obdobné truhlářské zakázky)</w:t>
            </w:r>
          </w:p>
        </w:tc>
        <w:tc>
          <w:tcPr>
            <w:tcW w:type="dxa" w:w="15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  <w:jc w:val="center"/>
            </w:pPr>
            <w:r>
              <w:rPr>
                <w:b w:val="false"/>
                <w:bCs w:val="false"/>
                <w:sz w:val="19"/>
                <w:szCs w:val="19"/>
              </w:rPr>
              <w:t xml:space="preserve">20 %</w:t>
            </w:r>
          </w:p>
        </w:tc>
        <w:tc>
          <w:tcPr>
            <w:tcW w:type="dxa" w:w="3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relevance a počet referencí</w:t>
            </w:r>
          </w:p>
        </w:tc>
      </w:tr>
    </w:tbl>
    <w:p>
      <w:pPr>
        <w:spacing w:after="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Cena: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body = (nejnižší cena / hodnocená cena) × 100 × 0,60.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Rychlost: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body = (nejkratší lhůta / hodnocená lhůta) × 100 × 0,20. Lhůta = počet kalendářních dnů od zaměření do předání smontovaného díla.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Reference: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body = (body nabídky / nejvyšší dosažené body) × 100 × 0,20. Hodnotí se doložené obdobné truhlářské zakázky za posledních 5 let.</w:t>
      </w:r>
    </w:p>
    <w:p>
      <w:pPr>
        <w:spacing w:after="120" w:line="276"/>
      </w:pPr>
      <w:r>
        <w:rPr>
          <w:b/>
          <w:bCs/>
          <w:i w:val="false"/>
          <w:iCs w:val="false"/>
          <w:sz w:val="21"/>
          <w:szCs w:val="21"/>
        </w:rPr>
        <w:t xml:space="preserve">Nejvýhodnější je nabídka s nejvyšším celkovým počtem bodů (max. 100).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6. Požadovaný obsah nabídky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Vyplněný krycí list nabídky (identifikace uchazeče).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Vyplněný výkaz výměr – jednotkové a celkové ceny, celková cena bez i s DPH.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Nabídnutý termín dodání a montáže (kalendářní dny) – podklad pro kritérium rychlost.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Seznam min. 3 referenčních truhlářských zakázek za posledních 5 let (objednatel, rozsah, rok, kontakt).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Doklad o oprávnění k podnikání (výpis z rejstříku).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7. Harmonogram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595959"/>
          <w:sz w:val="21"/>
          <w:szCs w:val="21"/>
        </w:rPr>
        <w:t xml:space="preserve">Závazné lhůty výběrového řízení: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5020"/>
        <w:gridCol w:w="4000"/>
      </w:tblGrid>
      <w:tr>
        <w:trPr>
          <w:tblHeader/>
        </w:trPr>
        <w:tc>
          <w:tcPr>
            <w:tcW w:type="dxa" w:w="502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Úkon</w:t>
            </w:r>
          </w:p>
        </w:tc>
        <w:tc>
          <w:tcPr>
            <w:tcW w:type="dxa" w:w="4000"/>
            <w:shd w:fill="7A2E2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Termín</w:t>
            </w:r>
          </w:p>
        </w:tc>
      </w:tr>
      <w:tr>
        <w:tc>
          <w:tcPr>
            <w:tcW w:type="dxa" w:w="5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Zpřístupnění podkladů / vyhlášení</w:t>
            </w:r>
          </w:p>
        </w:tc>
        <w:tc>
          <w:tcPr>
            <w:tcW w:type="dxa" w:w="4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11. 9. 2026 (zítra)</w:t>
            </w:r>
          </w:p>
        </w:tc>
      </w:tr>
      <w:tr>
        <w:tc>
          <w:tcPr>
            <w:tcW w:type="dxa" w:w="5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Lhůta pro dotazy uchazečů</w:t>
            </w:r>
          </w:p>
        </w:tc>
        <w:tc>
          <w:tcPr>
            <w:tcW w:type="dxa" w:w="4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do 16. 9. 2026</w:t>
            </w:r>
          </w:p>
        </w:tc>
      </w:tr>
      <w:tr>
        <w:tc>
          <w:tcPr>
            <w:tcW w:type="dxa" w:w="5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Zveřejnění odpovědí na dotazy</w:t>
            </w:r>
          </w:p>
        </w:tc>
        <w:tc>
          <w:tcPr>
            <w:tcW w:type="dxa" w:w="4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do 17. 9. 2026</w:t>
            </w:r>
          </w:p>
        </w:tc>
      </w:tr>
      <w:tr>
        <w:tc>
          <w:tcPr>
            <w:tcW w:type="dxa" w:w="5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Lhůta pro podání nabídek</w:t>
            </w:r>
          </w:p>
        </w:tc>
        <w:tc>
          <w:tcPr>
            <w:tcW w:type="dxa" w:w="4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18. 9. 2026, 12:00 hod.</w:t>
            </w:r>
          </w:p>
        </w:tc>
      </w:tr>
      <w:tr>
        <w:tc>
          <w:tcPr>
            <w:tcW w:type="dxa" w:w="5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Oznámení výsledku výběru</w:t>
            </w:r>
          </w:p>
        </w:tc>
        <w:tc>
          <w:tcPr>
            <w:tcW w:type="dxa" w:w="4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do 22. 9. 2026</w:t>
            </w:r>
          </w:p>
        </w:tc>
      </w:tr>
      <w:tr>
        <w:tc>
          <w:tcPr>
            <w:tcW w:type="dxa" w:w="5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Předpokládané zaměření na místě</w:t>
            </w:r>
          </w:p>
        </w:tc>
        <w:tc>
          <w:tcPr>
            <w:tcW w:type="dxa" w:w="4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10/2026</w:t>
            </w:r>
          </w:p>
        </w:tc>
      </w:tr>
      <w:tr>
        <w:tc>
          <w:tcPr>
            <w:tcW w:type="dxa" w:w="50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Nejzazší termín dokončení dodávky a montáže</w:t>
            </w:r>
          </w:p>
        </w:tc>
        <w:tc>
          <w:tcPr>
            <w:tcW w:type="dxa" w:w="40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30" w:before="30"/>
            </w:pPr>
            <w:r>
              <w:rPr>
                <w:b w:val="false"/>
                <w:bCs w:val="false"/>
                <w:sz w:val="19"/>
                <w:szCs w:val="19"/>
              </w:rPr>
              <w:t xml:space="preserve">31. 10. 2026</w:t>
            </w:r>
          </w:p>
        </w:tc>
      </w:tr>
    </w:tbl>
    <w:p>
      <w:pPr>
        <w:spacing w:after="120" w:line="276"/>
      </w:pPr>
      <w:r>
        <w:rPr>
          <w:b w:val="false"/>
          <w:bCs w:val="false"/>
          <w:i/>
          <w:iCs/>
          <w:color w:val="595959"/>
          <w:sz w:val="21"/>
          <w:szCs w:val="21"/>
        </w:rPr>
        <w:t xml:space="preserve">Rychlost je hodnoticím kritériem (20 %) – uchazeč uvede vlastní (co nejkratší) reálný termín dodání a montáže v rámci nejzazšího termínu.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8. Způsob a lhůta pro podání nabídky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Forma: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e-mailem na antonin.ferdan@impacthub.cz.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Formát: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nabídka v PDF; vyplněný výkaz výměr rovněž v xlsx.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Předmět e-mailu: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„Nabídka – truhlářské výrobky Klementinka 1. NP – [název uchazeče]“.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Lhůta: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do 18. 9. 2026, 12:00 hod. Rozhodující je čas doručení do schránky zadavatele.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9. Obchodní a platební podmínky, podmínky plnění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Zaměření: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dodavatel provede zaměření před výrobou; za soulad rozměrů odpovídá dodavatel.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Koordinace: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dodavatel koordinuje montáž s ostatními profesemi (elektro pro zásuvkové boxy) a s dodavatelem atypického nábytku.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Záruka: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min. 24 měsíců na dílo.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b/>
          <w:bCs/>
          <w:i w:val="false"/>
          <w:iCs w:val="false"/>
          <w:sz w:val="21"/>
          <w:szCs w:val="21"/>
        </w:rPr>
        <w:t xml:space="preserve">Platební podmínky (návrh): 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záloha max. 30 % po podpisu smlouvy, doplatek po předání a montáži, splatnost faktur 21 dní.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10. Výhrady zadavatele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Nejedná se o zadávací řízení dle zák. č. 134/2016 Sb.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Zadavatel si vyhrazuje právo výběrové řízení zrušit, neuzavřít smlouvu s žádným z uchazečů či upravit lhůty, bez nároku uchazečů na náhradu nákladů.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Podáním nabídky nevzniká nárok na uzavření smlouvy.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7"/>
          <w:szCs w:val="27"/>
        </w:rPr>
        <w:t xml:space="preserve">11. Přílohy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Příloha 1 – A.2.2 Katalog typického nábytku (NT)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Příloha 2 – Výkaz výměr – Truhlářské výrobky (xlsx)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Příloha 3 – Krycí list nabídky</w:t>
      </w:r>
    </w:p>
    <w:p>
      <w:pPr>
        <w:spacing w:after="16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V Mladé Boleslavi dne 11. 9. 2026</w:t>
      </w:r>
    </w:p>
    <w:p>
      <w:pPr>
        <w:spacing w:after="10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…………………………………………</w:t>
      </w:r>
    </w:p>
    <w:p>
      <w:pPr>
        <w:spacing w:after="20" w:line="276"/>
      </w:pPr>
      <w:r>
        <w:rPr>
          <w:b/>
          <w:bCs/>
          <w:i w:val="false"/>
          <w:iCs w:val="false"/>
          <w:sz w:val="21"/>
          <w:szCs w:val="21"/>
        </w:rPr>
        <w:t xml:space="preserve">HUB Mladá Boleslav, z.ú.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color w:val="595959"/>
          <w:sz w:val="21"/>
          <w:szCs w:val="21"/>
        </w:rPr>
        <w:t xml:space="preserve">Antonín Ferdan</w:t>
      </w:r>
    </w:p>
    <w:sectPr>
      <w:headerReference w:type="default" r:id="rId7"/>
      <w:footerReference w:type="default" r:id="rId8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95959"/>
        <w:sz w:val="16"/>
        <w:szCs w:val="16"/>
      </w:rPr>
      <w:t xml:space="preserve">Strana </w:t>
    </w:r>
    <w:r>
      <w:rPr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6"/>
        <w:szCs w:val="16"/>
      </w:rPr>
      <w:t xml:space="preserve"> / </w:t>
    </w:r>
    <w:r>
      <w:rPr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/>
      </w:pBdr>
      <w:tabs>
        <w:tab w:val="right" w:pos="9020"/>
      </w:tabs>
    </w:pPr>
    <w:r>
      <w:rPr>
        <w:color w:val="595959"/>
        <w:sz w:val="16"/>
        <w:szCs w:val="16"/>
      </w:rPr>
      <w:t xml:space="preserve">Klementinka – truhlářské výrobky – zadání VŘ</w:t>
    </w:r>
    <w:r>
      <w:rPr>
        <w:color w:val="595959"/>
        <w:sz w:val="16"/>
        <w:szCs w:val="16"/>
      </w:rPr>
      <w:t xml:space="preserve">	VŘ-KLEM-TRU-2026-01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Zadání VŘ – truhlářské výrobky Klementinka</dc:title>
  <dc:creator>HUB Mladá Boleslav, z.ú.</dc:creator>
  <cp:lastModifiedBy>Un-named</cp:lastModifiedBy>
  <cp:revision>1</cp:revision>
  <dcterms:created xsi:type="dcterms:W3CDTF">2026-09-10T10:20:20.718Z</dcterms:created>
  <dcterms:modified xsi:type="dcterms:W3CDTF">2026-09-10T10:20:20.718Z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