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rPr/>
      </w:pPr>
      <w:r w:rsidDel="00000000" w:rsidR="00000000" w:rsidRPr="00000000">
        <w:rPr>
          <w:b w:val="1"/>
          <w:bCs w:val="1"/>
          <w:color w:val="7a2e22"/>
          <w:sz w:val="40"/>
          <w:szCs w:val="40"/>
          <w:rtl w:val="0"/>
        </w:rPr>
        <w:t xml:space="preserve">KRYCÍ LIST NABÍDKY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Výběrové řízení – interiér „Klementinka: dům příběhů“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7a2e22" w:space="0" w:sz="6" w:val="single"/>
        </w:pBd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1. Identifikace výběrového řízení</w:t>
      </w:r>
      <w:r w:rsidDel="00000000" w:rsidR="00000000" w:rsidRPr="00000000">
        <w:rPr>
          <w:rtl w:val="0"/>
        </w:rPr>
      </w:r>
    </w:p>
    <w:tbl>
      <w:tblPr>
        <w:tblStyle w:val="Table1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3000"/>
        <w:gridCol w:w="6020"/>
        <w:tblGridChange w:id="0">
          <w:tblGrid>
            <w:gridCol w:w="3000"/>
            <w:gridCol w:w="6020"/>
          </w:tblGrid>
        </w:tblGridChange>
      </w:tblGrid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Zadavatel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HUB Mladá Boleslav, z.ú., IČO 21720070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Značka VŘ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VŘ-KLEM-INT-2026-01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Předmět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Dodávka a montáž interiéru 1. NP – nábytek na míru, volný nábytek, koncové prvky a spotřebiče (části A–E dle zadání)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Místo plnění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Klementinka: dům příběhů, tř. Václava Klementa 601/13, 293 01 Mladá Boleslav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2. Údaje o uchazeči</w:t>
      </w: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3000"/>
        <w:gridCol w:w="6020"/>
        <w:tblGridChange w:id="0">
          <w:tblGrid>
            <w:gridCol w:w="3000"/>
            <w:gridCol w:w="6020"/>
          </w:tblGrid>
        </w:tblGridChange>
      </w:tblGrid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Obchodní firma / 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Sídlo / 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IČO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DIČ / Plátce DPH (ano–ne)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Zápis v rejstříku (spis. zn.)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Osoba oprávněná jednat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Kontaktní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Bankovní spojení / č.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20"/>
                <w:szCs w:val="20"/>
                <w:rtl w:val="0"/>
              </w:rPr>
              <w:t xml:space="preserve">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3. Nabídková 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76" w:lineRule="auto"/>
        <w:rPr/>
      </w:pPr>
      <w:r w:rsidDel="00000000" w:rsidR="00000000" w:rsidRPr="00000000">
        <w:rPr>
          <w:b w:val="0"/>
          <w:bCs w:val="0"/>
          <w:i w:val="0"/>
          <w:iCs w:val="0"/>
          <w:sz w:val="21"/>
          <w:szCs w:val="21"/>
          <w:rtl w:val="0"/>
        </w:rPr>
        <w:t xml:space="preserve">Celková nabídková cena dle vyplněného výkazu výměr (příloha „Klementinka_interier_prehled.xlsx“):</w:t>
      </w:r>
      <w:r w:rsidDel="00000000" w:rsidR="00000000" w:rsidRPr="00000000">
        <w:rPr>
          <w:rtl w:val="0"/>
        </w:rPr>
      </w:r>
    </w:p>
    <w:tbl>
      <w:tblPr>
        <w:tblStyle w:val="Table3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5020"/>
        <w:gridCol w:w="4000"/>
        <w:tblGridChange w:id="0">
          <w:tblGrid>
            <w:gridCol w:w="5020"/>
            <w:gridCol w:w="4000"/>
          </w:tblGrid>
        </w:tblGridChange>
      </w:tblGrid>
      <w:tr>
        <w:trPr>
          <w:cantSplit w:val="0"/>
          <w:tblHeader w:val="0"/>
        </w:trPr>
        <w:tc>
          <w:tcPr>
            <w:shd w:fill="7a2e22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ffffff"/>
                <w:sz w:val="20"/>
                <w:szCs w:val="20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a2e22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ffffff"/>
                <w:sz w:val="20"/>
                <w:szCs w:val="20"/>
                <w:rtl w:val="0"/>
              </w:rPr>
              <w:t xml:space="preserve">Částka (bez DPH)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Část A – Atypický nábytek na míru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Část B – Typový nábytek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Část C – Produkty / volný nábytek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Část D – Koncové prvky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Část E – Spotřebiče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Celková cena bez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40" w:before="40" w:lineRule="auto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DPH 21 %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Celková cena včetně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………………………… Kč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20" w:line="276" w:lineRule="auto"/>
        <w:rPr/>
      </w:pPr>
      <w:r w:rsidDel="00000000" w:rsidR="00000000" w:rsidRPr="00000000">
        <w:rPr>
          <w:b w:val="0"/>
          <w:bCs w:val="0"/>
          <w:i w:val="1"/>
          <w:iCs w:val="1"/>
          <w:color w:val="595959"/>
          <w:sz w:val="21"/>
          <w:szCs w:val="21"/>
          <w:rtl w:val="0"/>
        </w:rPr>
        <w:t xml:space="preserve">Rozhodná pro hodnocení kritéria „Cena“ (váha 60 %) je celková cena bez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4. Termín plnění a záruka</w:t>
      </w:r>
      <w:r w:rsidDel="00000000" w:rsidR="00000000" w:rsidRPr="00000000">
        <w:rPr>
          <w:rtl w:val="0"/>
        </w:rPr>
      </w:r>
    </w:p>
    <w:tbl>
      <w:tblPr>
        <w:tblStyle w:val="Table4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5820"/>
        <w:gridCol w:w="3200"/>
        <w:tblGridChange w:id="0">
          <w:tblGrid>
            <w:gridCol w:w="5820"/>
            <w:gridCol w:w="3200"/>
          </w:tblGrid>
        </w:tblGridChange>
      </w:tblGrid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Nabídnutá lhůta dodání a montáže (kritérium rychlost, 20 %)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 kalendářních dnů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Nabízená záruční doba (min. 24 měsíců)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 měsíců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line="276" w:lineRule="auto"/>
        <w:rPr/>
      </w:pPr>
      <w:r w:rsidDel="00000000" w:rsidR="00000000" w:rsidRPr="00000000">
        <w:rPr>
          <w:b w:val="0"/>
          <w:bCs w:val="0"/>
          <w:i w:val="1"/>
          <w:iCs w:val="1"/>
          <w:color w:val="595959"/>
          <w:sz w:val="21"/>
          <w:szCs w:val="21"/>
          <w:rtl w:val="0"/>
        </w:rPr>
        <w:t xml:space="preserve">Lhůta = počet kalendářních dnů od převzetí připraveného prostoru (zaměření) do předání kompletně smontovaného interiéru. Podrobný harmonogram uchazeč přikládá jako přílohu nabídky.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5. Reference (kritérium reference, 20 %)</w:t>
      </w:r>
      <w:r w:rsidDel="00000000" w:rsidR="00000000" w:rsidRPr="00000000">
        <w:rPr>
          <w:rtl w:val="0"/>
        </w:rPr>
      </w:r>
    </w:p>
    <w:tbl>
      <w:tblPr>
        <w:tblStyle w:val="Table5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6520"/>
        <w:gridCol w:w="2500"/>
        <w:tblGridChange w:id="0">
          <w:tblGrid>
            <w:gridCol w:w="6520"/>
            <w:gridCol w:w="2500"/>
          </w:tblGrid>
        </w:tblGridChange>
      </w:tblGrid>
      <w:tr>
        <w:trPr>
          <w:cantSplit w:val="0"/>
          <w:tblHeader w:val="0"/>
        </w:trPr>
        <w:tc>
          <w:tcPr>
            <w:shd w:fill="f2ede8" w:val="clear"/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Počet doložených referenčních zakázek obdobného charakteru za posledních 5 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120" w:line="276" w:lineRule="auto"/>
        <w:rPr/>
      </w:pPr>
      <w:r w:rsidDel="00000000" w:rsidR="00000000" w:rsidRPr="00000000">
        <w:rPr>
          <w:b w:val="0"/>
          <w:bCs w:val="0"/>
          <w:i w:val="1"/>
          <w:iCs w:val="1"/>
          <w:color w:val="595959"/>
          <w:sz w:val="21"/>
          <w:szCs w:val="21"/>
          <w:rtl w:val="0"/>
        </w:rPr>
        <w:t xml:space="preserve">Seznam referencí (objednatel, rozsah, finanční objem, rok, kontakt) uchazeč přikládá jako samostatnou přílohu nabídky.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6. Prohlášení uchazeče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276" w:lineRule="auto"/>
        <w:rPr/>
      </w:pPr>
      <w:r w:rsidDel="00000000" w:rsidR="00000000" w:rsidRPr="00000000">
        <w:rPr>
          <w:b w:val="0"/>
          <w:bCs w:val="0"/>
          <w:i w:val="0"/>
          <w:iCs w:val="0"/>
          <w:sz w:val="21"/>
          <w:szCs w:val="21"/>
          <w:rtl w:val="0"/>
        </w:rPr>
        <w:t xml:space="preserve">Uchazeč svým podpisem prohlašuje,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 seznámil se zadáním výběrového řízení a všemi jeho přílohami (katalogy A.2.1, A.2.2, A.2.3, B.2.3 a výkaz výměr) a bez výhrad je akceptuje;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bere na vědomí změnu materiálu pohledových ploch atypických výrobků z dýhy na lamino Egger v barevnosti RAL 3012 a tuto změnu do nabídky zapracoval;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bere na vědomí, že katalogy jsou pouze vzorem a u neatypických položek nabídl standardní, cenově dostupné produktové řady srovnatelných parametrů (uvedené ve výkazu výměr);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veškeré údaje uvedené v nabídce jsou pravdivé a úplné;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je vázán obsahem své nabídky po dobu 60 dnů od uplynutí lhůty pro podání nabídek;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souhlasí s obchodními a platebními podmínkami uvedenými v zadání;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bere na vědomí, že se nejedná o zadávací řízení dle zák. č. 134/2016 Sb. a že zadavatel si vyhrazuje právo výběrové řízení zrušit či neuzavřít smlouvu.</w:t>
      </w:r>
    </w:p>
    <w:p w:rsidR="00000000" w:rsidDel="00000000" w:rsidP="00000000" w:rsidRDefault="00000000" w:rsidRPr="00000000" w14:paraId="0000004C">
      <w:pPr>
        <w:pStyle w:val="Heading1"/>
        <w:spacing w:after="120" w:before="300" w:lineRule="auto"/>
        <w:rPr/>
      </w:pPr>
      <w:r w:rsidDel="00000000" w:rsidR="00000000" w:rsidRPr="00000000">
        <w:rPr>
          <w:b w:val="1"/>
          <w:bCs w:val="1"/>
          <w:color w:val="7a2e22"/>
          <w:sz w:val="26"/>
          <w:szCs w:val="26"/>
          <w:rtl w:val="0"/>
        </w:rPr>
        <w:t xml:space="preserve">7. Přílohy nabídky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Vyplněný výkaz výměr (Klementinka_interier_prehled.xlsx) – oceněný, bez DPH i s DPH;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Harmonogram plnění (termín dodání a montáže);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Seznam referenčních zakázek za posledních 5 let;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Doklad o oprávnění k podnikání (výpis z rejstříku);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Případně doklad o pojištění odpovědnosti.</w:t>
      </w:r>
    </w:p>
    <w:p w:rsidR="00000000" w:rsidDel="00000000" w:rsidP="00000000" w:rsidRDefault="00000000" w:rsidRPr="00000000" w14:paraId="00000052">
      <w:pPr>
        <w:spacing w:after="22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60" w:line="276" w:lineRule="auto"/>
        <w:rPr/>
      </w:pPr>
      <w:r w:rsidDel="00000000" w:rsidR="00000000" w:rsidRPr="00000000">
        <w:rPr>
          <w:b w:val="0"/>
          <w:bCs w:val="0"/>
          <w:i w:val="0"/>
          <w:iCs w:val="0"/>
          <w:sz w:val="21"/>
          <w:szCs w:val="21"/>
          <w:rtl w:val="0"/>
        </w:rPr>
        <w:t xml:space="preserve">V ………………………………   dne ……………………</w:t>
      </w:r>
      <w:r w:rsidDel="00000000" w:rsidR="00000000" w:rsidRPr="00000000">
        <w:rPr>
          <w:rtl w:val="0"/>
        </w:rPr>
      </w:r>
    </w:p>
    <w:tbl>
      <w:tblPr>
        <w:tblStyle w:val="Table6"/>
        <w:tblW w:w="9020.0" w:type="dxa"/>
        <w:jc w:val="left"/>
        <w:tblBorders>
          <w:top w:color="bbbbbb" w:space="0" w:sz="4" w:val="single"/>
          <w:left w:color="bbbbbb" w:space="0" w:sz="4" w:val="single"/>
          <w:bottom w:color="bbbbbb" w:space="0" w:sz="4" w:val="single"/>
          <w:right w:color="bbbbbb" w:space="0" w:sz="4" w:val="single"/>
          <w:insideH w:color="dddddd" w:space="0" w:sz="4" w:val="single"/>
          <w:insideV w:color="dddddd" w:space="0" w:sz="4" w:val="single"/>
        </w:tblBorders>
        <w:tblLayout w:type="fixed"/>
        <w:tblLook w:val="0000"/>
      </w:tblPr>
      <w:tblGrid>
        <w:gridCol w:w="4510"/>
        <w:gridCol w:w="4510"/>
        <w:tblGridChange w:id="0">
          <w:tblGrid>
            <w:gridCol w:w="4510"/>
            <w:gridCol w:w="4510"/>
          </w:tblGrid>
        </w:tblGridChange>
      </w:tblGrid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rtl w:val="0"/>
              </w:rPr>
              <w:t xml:space="preserve">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18"/>
                <w:szCs w:val="18"/>
                <w:rtl w:val="0"/>
              </w:rPr>
              <w:t xml:space="preserve">jméno a funkce oprávněné osoby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595959"/>
                <w:sz w:val="18"/>
                <w:szCs w:val="18"/>
                <w:rtl w:val="0"/>
              </w:rPr>
              <w:t xml:space="preserve">podpis (a razítko)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300" w:top="13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color w:val="595959"/>
        <w:sz w:val="16"/>
        <w:szCs w:val="16"/>
        <w:rtl w:val="0"/>
      </w:rPr>
      <w:t xml:space="preserve">Strana </w:t>
    </w:r>
    <w:r w:rsidDel="00000000" w:rsidR="00000000" w:rsidRPr="00000000"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595959"/>
        <w:sz w:val="16"/>
        <w:szCs w:val="16"/>
        <w:rtl w:val="0"/>
      </w:rPr>
      <w:t xml:space="preserve"> / </w:t>
    </w:r>
    <w:r w:rsidDel="00000000" w:rsidR="00000000" w:rsidRPr="00000000"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bottom w:color="cccccc" w:space="0" w:sz="4" w:val="single"/>
      </w:pBdr>
      <w:tabs>
        <w:tab w:val="right" w:leader="none" w:pos="9020"/>
      </w:tabs>
      <w:rPr/>
    </w:pPr>
    <w:r w:rsidDel="00000000" w:rsidR="00000000" w:rsidRPr="00000000">
      <w:rPr>
        <w:color w:val="595959"/>
        <w:sz w:val="16"/>
        <w:szCs w:val="16"/>
        <w:rtl w:val="0"/>
      </w:rPr>
      <w:t xml:space="preserve">Krycí list nabídky — Klementinka: dům příběhůVŘ-KLEM-INT-2026-01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